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hAnsi="Arial" w:cs="Arial"/>
          <w:b/>
          <w:color w:val="1F3864"/>
          <w:sz w:val="28"/>
          <w:szCs w:val="28"/>
        </w:rPr>
        <w:t>Study Cohort Flow Diagram</w:t>
      </w:r>
    </w:p>
    <w:p>
      <w:pPr>
        <w:spacing w:after="200"/>
        <w:jc w:val="center"/>
      </w:pPr>
      <w:r>
        <w:rPr>
          <w:rFonts w:ascii="Arial" w:hAnsi="Arial" w:cs="Arial"/>
          <w:i/>
          <w:color w:val="555555"/>
          <w:sz w:val="20"/>
          <w:szCs w:val="20"/>
        </w:rPr>
        <w:t>Current run — fully reproducible from committed code (keep autocar)</w:t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2" w:type="dxa"/>
          <w:left w:w="2" w:type="dxa"/>
          <w:bottom w:w="2" w:type="dxa"/>
          <w:right w:w="2" w:type="dxa"/>
        </w:tblCellMar>
      </w:tblPr>
      <w:tblGrid>
        <w:gridCol w:w="4680"/>
        <w:gridCol w:w="4680"/>
      </w:tblGrid>
      <w:tr>
        <w:tc>
          <w:tcPr>
            <w:tcW w:w="4680" w:type="dxa"/>
            <w:shd w:val="clear" w:fill="1F3864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4"/>
                <w:szCs w:val="24"/>
              </w:rPr>
              <w:t>MIMIC-IV (Development)</w:t>
            </w:r>
          </w:p>
        </w:tc>
        <w:tc>
          <w:tcPr>
            <w:tcW w:w="4680" w:type="dxa"/>
            <w:shd w:val="clear" w:fill="2E5F8A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4"/>
                <w:szCs w:val="24"/>
              </w:rPr>
              <w:t>MIMIC-III (External Validation)</w:t>
            </w:r>
          </w:p>
        </w:tc>
      </w:tr>
    </w:tbl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2" w:type="dxa"/>
          <w:left w:w="2" w:type="dxa"/>
          <w:bottom w:w="2" w:type="dxa"/>
          <w:right w:w="2" w:type="dxa"/>
        </w:tblCellMar>
      </w:tblPr>
      <w:tblGrid>
        <w:gridCol w:w="4680"/>
        <w:gridCol w:w="4680"/>
      </w:tblGrid>
      <w:tr>
        <w:tc>
          <w:tcPr>
            <w:tcW w:w="4680" w:type="dxa"/>
            <w:shd w:val="clear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/>
                <w:b/>
                <w:sz w:val="22"/>
                <w:szCs w:val="22"/>
              </w:rPr>
              <w:t>All adult admissions (≥18 y)</w:t>
            </w:r>
          </w:p>
          <w:p>
            <w:pPr>
              <w:jc w:val="center"/>
            </w:pPr>
            <w:r>
              <w:rPr>
                <w:rFonts w:ascii="Arial" w:hAnsi="Arial" w:cs="Arial"/>
                <w:b/>
                <w:color w:val="1F3864"/>
                <w:sz w:val="26"/>
                <w:szCs w:val="26"/>
              </w:rPr>
              <w:t>n = 546,028</w:t>
            </w:r>
          </w:p>
        </w:tc>
        <w:tc>
          <w:tcPr>
            <w:tcW w:w="4680" w:type="dxa"/>
            <w:shd w:val="clear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/>
                <w:b/>
                <w:sz w:val="22"/>
                <w:szCs w:val="22"/>
              </w:rPr>
              <w:t>All adult admissions (≥18 y)</w:t>
            </w:r>
          </w:p>
          <w:p>
            <w:pPr>
              <w:jc w:val="center"/>
            </w:pPr>
            <w:r>
              <w:rPr>
                <w:rFonts w:ascii="Arial" w:hAnsi="Arial" w:cs="Arial"/>
                <w:b/>
                <w:color w:val="2E5F8A"/>
                <w:sz w:val="26"/>
                <w:szCs w:val="26"/>
              </w:rPr>
              <w:t>n = 50,766</w:t>
            </w:r>
          </w:p>
        </w:tc>
      </w:tr>
    </w:tbl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2" w:type="dxa"/>
          <w:left w:w="2" w:type="dxa"/>
          <w:bottom w:w="2" w:type="dxa"/>
          <w:right w:w="2" w:type="dxa"/>
        </w:tblCellMar>
      </w:tblPr>
      <w:tblGrid>
        <w:gridCol w:w="1300"/>
        <w:gridCol w:w="3380"/>
        <w:gridCol w:w="1300"/>
        <w:gridCol w:w="3380"/>
      </w:tblGrid>
      <w:tr>
        <w:tc>
          <w:tcPr>
            <w:tcW w:w="13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color w:val="1F3864"/>
                <w:sz w:val="28"/>
                <w:szCs w:val="28"/>
              </w:rPr>
              <w:t>↓</w:t>
            </w:r>
          </w:p>
        </w:tc>
        <w:tc>
          <w:tcPr>
            <w:tcW w:w="3380" w:type="dxa"/>
            <w:shd w:val="clear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Arial" w:hAnsi="Arial" w:cs="Arial"/>
                <w:b/>
                <w:color w:val="BF360C"/>
                <w:sz w:val="18"/>
                <w:szCs w:val="18"/>
              </w:rPr>
              <w:t>Excluded: 7,419 admissions</w:t>
            </w:r>
          </w:p>
          <w:p>
            <w:pPr>
              <w:spacing w:after="14"/>
            </w:pPr>
            <w:r>
              <w:rPr>
                <w:rFonts w:ascii="Arial" w:hAnsi="Arial" w:cs="Arial"/>
                <w:sz w:val="17"/>
                <w:szCs w:val="17"/>
              </w:rPr>
              <w:t>• Age &lt;18 years: 0 admissions</w:t>
            </w:r>
          </w:p>
          <w:p>
            <w:pPr>
              <w:spacing w:after="14"/>
            </w:pPr>
            <w:r>
              <w:rPr>
                <w:rFonts w:ascii="Arial" w:hAnsi="Arial" w:cs="Arial"/>
                <w:sz w:val="17"/>
                <w:szCs w:val="17"/>
              </w:rPr>
              <w:t>• Primary AKI (presenting diagnosis): 6,888 admissions</w:t>
            </w:r>
          </w:p>
          <w:p>
            <w:pPr>
              <w:spacing w:after="14"/>
            </w:pPr>
            <w:r>
              <w:rPr>
                <w:rFonts w:ascii="Arial" w:hAnsi="Arial" w:cs="Arial"/>
                <w:sz w:val="17"/>
                <w:szCs w:val="17"/>
              </w:rPr>
              <w:t>• Admissions without diagnosis data: 531</w:t>
            </w:r>
          </w:p>
          <w:p>
            <w:pPr>
              <w:spacing w:after="14"/>
            </w:pPr>
            <w:r>
              <w:rPr>
                <w:rFonts w:ascii="Arial" w:hAnsi="Arial" w:cs="Arial"/>
                <w:sz w:val="17"/>
                <w:szCs w:val="17"/>
              </w:rPr>
              <w:t/>
            </w:r>
          </w:p>
          <w:p>
            <w:pPr>
              <w:spacing w:after="0"/>
            </w:pPr>
            <w:r>
              <w:rPr>
                <w:rFonts w:ascii="Arial" w:hAnsi="Arial" w:cs="Arial"/>
                <w:sz w:val="17"/>
                <w:szCs w:val="17"/>
              </w:rPr>
              <w:t/>
            </w:r>
          </w:p>
        </w:tc>
        <w:tc>
          <w:tcPr>
            <w:tcW w:w="13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color w:val="2E5F8A"/>
                <w:sz w:val="28"/>
                <w:szCs w:val="28"/>
              </w:rPr>
              <w:t>↓</w:t>
            </w:r>
          </w:p>
        </w:tc>
        <w:tc>
          <w:tcPr>
            <w:tcW w:w="3380" w:type="dxa"/>
            <w:shd w:val="clear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Arial" w:hAnsi="Arial" w:cs="Arial"/>
                <w:b/>
                <w:color w:val="BF360C"/>
                <w:sz w:val="18"/>
                <w:szCs w:val="18"/>
              </w:rPr>
              <w:t>Excluded: 690 admissions</w:t>
            </w:r>
          </w:p>
          <w:p>
            <w:pPr>
              <w:spacing w:after="14"/>
            </w:pPr>
            <w:r>
              <w:rPr>
                <w:rFonts w:ascii="Arial" w:hAnsi="Arial" w:cs="Arial"/>
                <w:sz w:val="17"/>
                <w:szCs w:val="17"/>
              </w:rPr>
              <w:t>• Primary AKI (presenting diagnosis): 645 admissions</w:t>
            </w:r>
          </w:p>
          <w:p>
            <w:pPr>
              <w:spacing w:after="14"/>
            </w:pPr>
            <w:r>
              <w:rPr>
                <w:rFonts w:ascii="Arial" w:hAnsi="Arial" w:cs="Arial"/>
                <w:sz w:val="17"/>
                <w:szCs w:val="17"/>
              </w:rPr>
              <w:t>• Admissions without diagnosis data: 45</w:t>
            </w:r>
          </w:p>
          <w:p>
            <w:pPr>
              <w:spacing w:after="14"/>
            </w:pPr>
            <w:r>
              <w:rPr>
                <w:rFonts w:ascii="Arial" w:hAnsi="Arial" w:cs="Arial"/>
                <w:sz w:val="17"/>
                <w:szCs w:val="17"/>
              </w:rPr>
              <w:t/>
            </w:r>
          </w:p>
          <w:p>
            <w:pPr>
              <w:spacing w:after="14"/>
            </w:pPr>
            <w:r>
              <w:rPr>
                <w:rFonts w:ascii="Arial" w:hAnsi="Arial" w:cs="Arial"/>
                <w:sz w:val="17"/>
                <w:szCs w:val="17"/>
              </w:rPr>
              <w:t/>
            </w:r>
          </w:p>
          <w:p>
            <w:pPr>
              <w:spacing w:after="0"/>
            </w:pPr>
            <w:r>
              <w:rPr>
                <w:rFonts w:ascii="Arial" w:hAnsi="Arial" w:cs="Arial"/>
                <w:sz w:val="17"/>
                <w:szCs w:val="17"/>
              </w:rPr>
              <w:t/>
            </w:r>
          </w:p>
        </w:tc>
      </w:tr>
    </w:tbl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2" w:type="dxa"/>
          <w:left w:w="2" w:type="dxa"/>
          <w:bottom w:w="2" w:type="dxa"/>
          <w:right w:w="2" w:type="dxa"/>
        </w:tblCellMar>
      </w:tblPr>
      <w:tblGrid>
        <w:gridCol w:w="4680"/>
        <w:gridCol w:w="4680"/>
      </w:tblGrid>
      <w:tr>
        <w:tc>
          <w:tcPr>
            <w:tcW w:w="4680" w:type="dxa"/>
            <w:shd w:val="clear" w:fill="D0E8FF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>Eligible admissions (target_admissions.parquet)</w:t>
            </w:r>
          </w:p>
          <w:p>
            <w:pPr>
              <w:jc w:val="center"/>
            </w:pPr>
            <w:r>
              <w:rPr>
                <w:rFonts w:ascii="Arial" w:hAnsi="Arial" w:cs="Arial"/>
                <w:b/>
                <w:color w:val="1F3864"/>
                <w:sz w:val="24"/>
                <w:szCs w:val="24"/>
              </w:rPr>
              <w:t>538,609 admissions</w:t>
            </w:r>
          </w:p>
        </w:tc>
        <w:tc>
          <w:tcPr>
            <w:tcW w:w="4680" w:type="dxa"/>
            <w:shd w:val="clear" w:fill="D0E8FF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>Eligible admissions (target_admissions.parquet)</w:t>
            </w:r>
          </w:p>
          <w:p>
            <w:pPr>
              <w:jc w:val="center"/>
            </w:pPr>
            <w:r>
              <w:rPr>
                <w:rFonts w:ascii="Arial" w:hAnsi="Arial" w:cs="Arial"/>
                <w:b/>
                <w:color w:val="2E5F8A"/>
                <w:sz w:val="24"/>
                <w:szCs w:val="24"/>
              </w:rPr>
              <w:t>50,076 admissions</w:t>
            </w:r>
          </w:p>
        </w:tc>
      </w:tr>
    </w:tbl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2" w:type="dxa"/>
          <w:left w:w="2" w:type="dxa"/>
          <w:bottom w:w="2" w:type="dxa"/>
          <w:right w:w="2" w:type="dxa"/>
        </w:tblCellMar>
      </w:tblPr>
      <w:tblGrid>
        <w:gridCol w:w="1300"/>
        <w:gridCol w:w="3380"/>
        <w:gridCol w:w="1300"/>
        <w:gridCol w:w="3380"/>
      </w:tblGrid>
      <w:tr>
        <w:tc>
          <w:tcPr>
            <w:tcW w:w="13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color w:val="1F3864"/>
                <w:sz w:val="28"/>
                <w:szCs w:val="28"/>
              </w:rPr>
              <w:t>↓</w:t>
            </w:r>
          </w:p>
        </w:tc>
        <w:tc>
          <w:tcPr>
            <w:tcW w:w="3380" w:type="dxa"/>
            <w:shd w:val="clear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Arial" w:hAnsi="Arial" w:cs="Arial"/>
                <w:b/>
                <w:color w:val="BF360C"/>
                <w:sz w:val="18"/>
                <w:szCs w:val="18"/>
              </w:rPr>
              <w:t>Not incident AKI eligible (label NA): 92,280 admissions</w:t>
            </w:r>
          </w:p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>• CKD-only admissions (no AKI): 51,606 admissions</w:t>
            </w:r>
          </w:p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>• Non-incident AKI (repeat or AKI+CKD): 25,922 admissions</w:t>
            </w:r>
          </w:p>
          <w:p>
            <w:pPr>
              <w:spacing w:after="0"/>
            </w:pPr>
            <w:r>
              <w:rPr>
                <w:rFonts w:ascii="Arial" w:hAnsi="Arial" w:cs="Arial"/>
                <w:sz w:val="17"/>
                <w:szCs w:val="17"/>
              </w:rPr>
              <w:t>• Prior renal impairment (no current AKI/CKD): 14,752 admissions</w:t>
            </w:r>
          </w:p>
        </w:tc>
        <w:tc>
          <w:tcPr>
            <w:tcW w:w="13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color w:val="2E5F8A"/>
                <w:sz w:val="28"/>
                <w:szCs w:val="28"/>
              </w:rPr>
              <w:t>↓</w:t>
            </w:r>
          </w:p>
        </w:tc>
        <w:tc>
          <w:tcPr>
            <w:tcW w:w="3380" w:type="dxa"/>
            <w:shd w:val="clear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Arial" w:hAnsi="Arial" w:cs="Arial"/>
                <w:b/>
                <w:color w:val="BF360C"/>
                <w:sz w:val="18"/>
                <w:szCs w:val="18"/>
              </w:rPr>
              <w:t>Not incident AKI eligible (label NA): 5,701 admissions</w:t>
            </w:r>
          </w:p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>• CKD-only admissions (no AKI): 3,715 admissions</w:t>
            </w:r>
          </w:p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>• Non-incident AKI (repeat or AKI+CKD): 1,661 admissions</w:t>
            </w:r>
          </w:p>
          <w:p>
            <w:pPr>
              <w:spacing w:after="0"/>
            </w:pPr>
            <w:r>
              <w:rPr>
                <w:rFonts w:ascii="Arial" w:hAnsi="Arial" w:cs="Arial"/>
                <w:sz w:val="17"/>
                <w:szCs w:val="17"/>
              </w:rPr>
              <w:t>• Prior renal impairment (no current AKI/CKD): 325 admissions</w:t>
            </w:r>
          </w:p>
        </w:tc>
      </w:tr>
    </w:tbl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2" w:type="dxa"/>
          <w:left w:w="2" w:type="dxa"/>
          <w:bottom w:w="2" w:type="dxa"/>
          <w:right w:w="2" w:type="dxa"/>
        </w:tblCellMar>
      </w:tblPr>
      <w:tblGrid>
        <w:gridCol w:w="4680"/>
        <w:gridCol w:w="4680"/>
      </w:tblGrid>
      <w:tr>
        <w:tc>
          <w:tcPr>
            <w:tcW w:w="4680" w:type="dxa"/>
            <w:shd w:val="clear" w:fill="D0E8FF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>Labeled admissions (incident_aki_target.parquet)</w:t>
            </w:r>
          </w:p>
          <w:p>
            <w:pPr>
              <w:spacing w:after="20"/>
            </w:pPr>
            <w:r>
              <w:rPr>
                <w:rFonts w:ascii="Arial" w:hAnsi="Arial" w:cs="Arial"/>
                <w:sz w:val="19"/>
                <w:szCs w:val="19"/>
              </w:rPr>
              <w:t xml:space="preserve">• Incident AKI (label = 1): </w:t>
            </w:r>
            <w:r>
              <w:rPr>
                <w:rFonts w:ascii="Arial" w:hAnsi="Arial" w:cs="Arial"/>
                <w:b/>
                <w:sz w:val="19"/>
                <w:szCs w:val="19"/>
              </w:rPr>
              <w:t>40,392</w:t>
            </w:r>
          </w:p>
          <w:p>
            <w:pPr>
              <w:spacing w:after="0"/>
            </w:pPr>
            <w:r>
              <w:rPr>
                <w:rFonts w:ascii="Arial" w:hAnsi="Arial" w:cs="Arial"/>
                <w:sz w:val="19"/>
                <w:szCs w:val="19"/>
              </w:rPr>
              <w:t xml:space="preserve">• No AKI (label = 0): </w:t>
            </w:r>
            <w:r>
              <w:rPr>
                <w:rFonts w:ascii="Arial" w:hAnsi="Arial" w:cs="Arial"/>
                <w:b/>
                <w:sz w:val="19"/>
                <w:szCs w:val="19"/>
              </w:rPr>
              <w:t>405,937</w:t>
            </w:r>
          </w:p>
        </w:tc>
        <w:tc>
          <w:tcPr>
            <w:tcW w:w="4680" w:type="dxa"/>
            <w:shd w:val="clear" w:fill="D0E8FF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>Labeled admissions (incident_aki_target.parquet)</w:t>
            </w:r>
          </w:p>
          <w:p>
            <w:pPr>
              <w:spacing w:after="20"/>
            </w:pPr>
            <w:r>
              <w:rPr>
                <w:rFonts w:ascii="Arial" w:hAnsi="Arial" w:cs="Arial"/>
                <w:sz w:val="19"/>
                <w:szCs w:val="19"/>
              </w:rPr>
              <w:t xml:space="preserve">• Incident AKI (label = 1): </w:t>
            </w:r>
            <w:r>
              <w:rPr>
                <w:rFonts w:ascii="Arial" w:hAnsi="Arial" w:cs="Arial"/>
                <w:b/>
                <w:sz w:val="19"/>
                <w:szCs w:val="19"/>
              </w:rPr>
              <w:t>9,109</w:t>
            </w:r>
          </w:p>
          <w:p>
            <w:pPr>
              <w:spacing w:after="0"/>
            </w:pPr>
            <w:r>
              <w:rPr>
                <w:rFonts w:ascii="Arial" w:hAnsi="Arial" w:cs="Arial"/>
                <w:sz w:val="19"/>
                <w:szCs w:val="19"/>
              </w:rPr>
              <w:t xml:space="preserve">• No AKI (label = 0): </w:t>
            </w:r>
            <w:r>
              <w:rPr>
                <w:rFonts w:ascii="Arial" w:hAnsi="Arial" w:cs="Arial"/>
                <w:b/>
                <w:sz w:val="19"/>
                <w:szCs w:val="19"/>
              </w:rPr>
              <w:t>35,312</w:t>
            </w:r>
          </w:p>
        </w:tc>
      </w:tr>
    </w:tbl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2" w:type="dxa"/>
          <w:left w:w="2" w:type="dxa"/>
          <w:bottom w:w="2" w:type="dxa"/>
          <w:right w:w="2" w:type="dxa"/>
        </w:tblCellMar>
      </w:tblPr>
      <w:tblGrid>
        <w:gridCol w:w="1300"/>
        <w:gridCol w:w="3380"/>
        <w:gridCol w:w="1300"/>
        <w:gridCol w:w="3380"/>
      </w:tblGrid>
      <w:tr>
        <w:tc>
          <w:tcPr>
            <w:tcW w:w="13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color w:val="1F3864"/>
                <w:sz w:val="28"/>
                <w:szCs w:val="28"/>
              </w:rPr>
              <w:t>↓</w:t>
            </w:r>
          </w:p>
        </w:tc>
        <w:tc>
          <w:tcPr>
            <w:tcW w:w="3380" w:type="dxa"/>
            <w:shd w:val="clear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Arial" w:hAnsi="Arial" w:cs="Arial"/>
                <w:b/>
                <w:color w:val="BF360C"/>
                <w:sz w:val="18"/>
                <w:szCs w:val="18"/>
              </w:rPr>
              <w:t>Dedup to patient-level: 232,299 dropped
• Keep first AKI+ admission per patient
• Keep last AKI− admission per patient; drop rest</w:t>
            </w:r>
          </w:p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/>
            </w:r>
          </w:p>
          <w:p>
            <w:pPr>
              <w:spacing w:after="0"/>
            </w:pPr>
            <w:r>
              <w:rPr>
                <w:rFonts w:ascii="Arial" w:hAnsi="Arial" w:cs="Arial"/>
                <w:sz w:val="17"/>
                <w:szCs w:val="17"/>
              </w:rPr>
              <w:t/>
            </w:r>
          </w:p>
        </w:tc>
        <w:tc>
          <w:tcPr>
            <w:tcW w:w="13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color w:val="2E5F8A"/>
                <w:sz w:val="28"/>
                <w:szCs w:val="28"/>
              </w:rPr>
              <w:t>↓</w:t>
            </w:r>
          </w:p>
        </w:tc>
        <w:tc>
          <w:tcPr>
            <w:tcW w:w="3380" w:type="dxa"/>
            <w:shd w:val="clear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Arial" w:hAnsi="Arial" w:cs="Arial"/>
                <w:b/>
                <w:color w:val="BF360C"/>
                <w:sz w:val="18"/>
                <w:szCs w:val="18"/>
              </w:rPr>
              <w:t>Dedup to patient-level: 7,959 dropped
• Keep first AKI+ admission per patient
• Keep last AKI− admission per patient; drop rest</w:t>
            </w:r>
          </w:p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/>
            </w:r>
          </w:p>
          <w:p>
            <w:pPr>
              <w:spacing w:after="0"/>
            </w:pPr>
            <w:r>
              <w:rPr>
                <w:rFonts w:ascii="Arial" w:hAnsi="Arial" w:cs="Arial"/>
                <w:sz w:val="17"/>
                <w:szCs w:val="17"/>
              </w:rPr>
              <w:t/>
            </w:r>
          </w:p>
        </w:tc>
      </w:tr>
    </w:tbl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2" w:type="dxa"/>
          <w:left w:w="2" w:type="dxa"/>
          <w:bottom w:w="2" w:type="dxa"/>
          <w:right w:w="2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fill="C6282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Incident AKI</w:t>
            </w:r>
          </w:p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4"/>
                <w:szCs w:val="24"/>
              </w:rPr>
              <w:t>n = 40,392</w:t>
            </w:r>
          </w:p>
          <w:p>
            <w:pPr>
              <w:jc w:val="center"/>
              <w:spacing w:before="60" w:after="0"/>
            </w:pPr>
            <w:r>
              <w:rPr>
                <w:rFonts w:ascii="Arial" w:hAnsi="Arial" w:cs="Arial"/>
                <w:color w:val="FFFFFF"/>
                <w:sz w:val="17"/>
                <w:szCs w:val="17"/>
              </w:rPr>
              <w:t>(ICD n=40,392; AutoCar n=16,969; KDIGO n=851)</w:t>
            </w:r>
          </w:p>
        </w:tc>
        <w:tc>
          <w:tcPr>
            <w:tcW w:w="2340" w:type="dxa"/>
            <w:shd w:val="clear" w:fill="2E7D3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No AKI</w:t>
            </w:r>
          </w:p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4"/>
                <w:szCs w:val="24"/>
              </w:rPr>
              <w:t>n = 173,638</w:t>
            </w:r>
          </w:p>
        </w:tc>
        <w:tc>
          <w:tcPr>
            <w:tcW w:w="2340" w:type="dxa"/>
            <w:shd w:val="clear" w:fill="C6282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Incident AKI</w:t>
            </w:r>
          </w:p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4"/>
                <w:szCs w:val="24"/>
              </w:rPr>
              <w:t>n = 9,109</w:t>
            </w:r>
          </w:p>
          <w:p>
            <w:pPr>
              <w:jc w:val="center"/>
              <w:spacing w:before="60" w:after="0"/>
            </w:pPr>
            <w:r>
              <w:rPr>
                <w:rFonts w:ascii="Arial" w:hAnsi="Arial" w:cs="Arial"/>
                <w:color w:val="FFFFFF"/>
                <w:sz w:val="17"/>
                <w:szCs w:val="17"/>
              </w:rPr>
              <w:t>(ICD n=9,109; AutoCar n=5,230; KDIGO n=412)</w:t>
            </w:r>
          </w:p>
        </w:tc>
        <w:tc>
          <w:tcPr>
            <w:tcW w:w="2340" w:type="dxa"/>
            <w:shd w:val="clear" w:fill="2E7D3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No AKI</w:t>
            </w:r>
          </w:p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4"/>
                <w:szCs w:val="24"/>
              </w:rPr>
              <w:t>n = 27,353</w:t>
            </w:r>
          </w:p>
        </w:tc>
      </w:tr>
    </w:tbl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spacing w:before="40" w:after="0"/>
              <w:jc w:val="center"/>
            </w:pPr>
            <w:r>
              <w:rPr>
                <w:rFonts w:ascii="Arial" w:hAnsi="Arial" w:cs="Arial"/>
                <w:color w:val="C62828"/>
                <w:sz w:val="28"/>
                <w:szCs w:val="28"/>
              </w:rPr>
              <w:t>↓</w:t>
            </w:r>
          </w:p>
        </w:tc>
        <w:tc>
          <w:tcPr>
            <w:tcW w:w="2340" w:type="dxa"/>
          </w:tcPr>
          <w:p>
            <w:pPr>
              <w:spacing w:before="40" w:after="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before="40" w:after="0"/>
              <w:jc w:val="center"/>
            </w:pPr>
            <w:r>
              <w:rPr>
                <w:rFonts w:ascii="Arial" w:hAnsi="Arial" w:cs="Arial"/>
                <w:color w:val="C62828"/>
                <w:sz w:val="28"/>
                <w:szCs w:val="28"/>
              </w:rPr>
              <w:t>↓</w:t>
            </w:r>
          </w:p>
        </w:tc>
        <w:tc>
          <w:tcPr>
            <w:tcW w:w="2340" w:type="dxa"/>
          </w:tcPr>
          <w:p>
            <w:pPr>
              <w:spacing w:before="40" w:after="0"/>
            </w:pPr>
            <w:r>
              <w:t xml:space="preserve"> </w:t>
            </w:r>
          </w:p>
        </w:tc>
      </w:tr>
    </w:tbl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2" w:type="dxa"/>
          <w:left w:w="2" w:type="dxa"/>
          <w:bottom w:w="2" w:type="dxa"/>
          <w:right w:w="2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w="3380" w:type="dxa"/>
            <w:shd w:val="clear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Arial" w:hAnsi="Arial" w:cs="Arial"/>
                <w:b/>
                <w:color w:val="BF360C"/>
                <w:sz w:val="18"/>
                <w:szCs w:val="18"/>
              </w:rPr>
              <w:t>Excluded: 3,889</w:t>
            </w:r>
          </w:p>
          <w:p>
            <w:pPr>
              <w:spacing w:after="14"/>
            </w:pPr>
            <w:r>
              <w:rPr>
                <w:rFonts w:ascii="Arial" w:hAnsi="Arial" w:cs="Arial"/>
                <w:sz w:val="17"/>
                <w:szCs w:val="17"/>
              </w:rPr>
              <w:t>• CKD &lt;90 days: n = 3,523</w:t>
            </w:r>
          </w:p>
          <w:p>
            <w:pPr>
              <w:spacing w:after="14"/>
            </w:pPr>
            <w:r>
              <w:rPr>
                <w:rFonts w:ascii="Arial" w:hAnsi="Arial" w:cs="Arial"/>
                <w:sz w:val="17"/>
                <w:szCs w:val="17"/>
              </w:rPr>
              <w:t>• PostCKD/ESRD &lt;90 days: n = 351</w:t>
            </w:r>
          </w:p>
          <w:p>
            <w:pPr>
              <w:spacing w:after="0"/>
            </w:pPr>
            <w:r>
              <w:rPr>
                <w:rFonts w:ascii="Arial" w:hAnsi="Arial" w:cs="Arial"/>
                <w:sz w:val="17"/>
                <w:szCs w:val="17"/>
              </w:rPr>
              <w:t>• No follow-up data: n = 15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rPr>
                <w:rFonts w:ascii="Arial" w:hAnsi="Arial" w:cs="Arial"/>
                <w:color w:val="2E5F8A"/>
                <w:sz w:val="28"/>
                <w:szCs w:val="28"/>
              </w:rPr>
              <w:t>↓</w:t>
            </w:r>
          </w:p>
        </w:tc>
        <w:tc>
          <w:tcPr>
            <w:tcW w:w="3380" w:type="dxa"/>
            <w:shd w:val="clear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Arial" w:hAnsi="Arial" w:cs="Arial"/>
                <w:b/>
                <w:color w:val="BF360C"/>
                <w:sz w:val="18"/>
                <w:szCs w:val="18"/>
              </w:rPr>
              <w:t>Excluded: 99</w:t>
            </w:r>
          </w:p>
          <w:p>
            <w:pPr>
              <w:spacing w:after="14"/>
            </w:pPr>
            <w:r>
              <w:rPr>
                <w:rFonts w:ascii="Arial" w:hAnsi="Arial" w:cs="Arial"/>
                <w:sz w:val="17"/>
                <w:szCs w:val="17"/>
              </w:rPr>
              <w:t>• CKD &lt;90 days: n = 75</w:t>
            </w:r>
          </w:p>
          <w:p>
            <w:pPr>
              <w:spacing w:after="14"/>
            </w:pPr>
            <w:r>
              <w:rPr>
                <w:rFonts w:ascii="Arial" w:hAnsi="Arial" w:cs="Arial"/>
                <w:sz w:val="17"/>
                <w:szCs w:val="17"/>
              </w:rPr>
              <w:t>• PostCKD/ESRD &lt;90 days: n = 12</w:t>
            </w:r>
          </w:p>
          <w:p>
            <w:pPr>
              <w:spacing w:after="0"/>
            </w:pPr>
            <w:r>
              <w:rPr>
                <w:rFonts w:ascii="Arial" w:hAnsi="Arial" w:cs="Arial"/>
                <w:sz w:val="17"/>
                <w:szCs w:val="17"/>
              </w:rPr>
              <w:t>• No follow-up data: n = 12</w:t>
            </w:r>
          </w:p>
        </w:tc>
      </w:tr>
      <w:tr>
        <w:tc>
          <w:tcPr>
            <w:tcW w:w="4680" w:type="dxa"/>
            <w:gridSpan w:val="2"/>
            <w:shd w:val="clear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6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>Post-AKI survival cohort (N = 40,392)</w:t>
            </w:r>
          </w:p>
          <w:p>
            <w:pPr>
              <w:spacing w:after="30"/>
            </w:pPr>
            <w:r>
              <w:rPr>
                <w:rFonts w:ascii="Arial" w:hAnsi="Arial" w:cs="Arial"/>
                <w:sz w:val="19"/>
                <w:szCs w:val="19"/>
              </w:rPr>
              <w:t xml:space="preserve">• Incident CKD (≥90d post-discharge): </w:t>
            </w:r>
            <w:r>
              <w:rPr>
                <w:rFonts w:ascii="Arial" w:hAnsi="Arial" w:cs="Arial"/>
                <w:b/>
                <w:sz w:val="19"/>
                <w:szCs w:val="19"/>
              </w:rPr>
              <w:t>9,477</w:t>
            </w:r>
            <w:r>
              <w:rPr>
                <w:rFonts w:ascii="Arial" w:hAnsi="Arial" w:cs="Arial"/>
                <w:sz w:val="17"/>
                <w:szCs w:val="17"/>
              </w:rPr>
              <w:t xml:space="preserve"> (lab-based n=4,870)</w:t>
            </w:r>
          </w:p>
          <w:p>
            <w:pPr>
              <w:spacing w:after="30"/>
            </w:pPr>
            <w:r>
              <w:rPr>
                <w:rFonts w:ascii="Arial" w:hAnsi="Arial" w:cs="Arial"/>
                <w:sz w:val="19"/>
                <w:szCs w:val="19"/>
              </w:rPr>
              <w:t xml:space="preserve">• PostCKD/ESRD (≥90d): </w:t>
            </w:r>
            <w:r>
              <w:rPr>
                <w:rFonts w:ascii="Arial" w:hAnsi="Arial" w:cs="Arial"/>
                <w:b/>
                <w:sz w:val="19"/>
                <w:szCs w:val="19"/>
              </w:rPr>
              <w:t>926</w:t>
            </w:r>
          </w:p>
          <w:p>
            <w:pPr>
              <w:spacing w:after="30"/>
            </w:pPr>
            <w:r>
              <w:rPr>
                <w:rFonts w:ascii="Arial" w:hAnsi="Arial" w:cs="Arial"/>
                <w:sz w:val="19"/>
                <w:szCs w:val="19"/>
              </w:rPr>
              <w:t xml:space="preserve">• Death: </w:t>
            </w:r>
            <w:r>
              <w:rPr>
                <w:rFonts w:ascii="Arial" w:hAnsi="Arial" w:cs="Arial"/>
                <w:b/>
                <w:sz w:val="19"/>
                <w:szCs w:val="19"/>
              </w:rPr>
              <w:t>5,552</w:t>
            </w:r>
          </w:p>
          <w:p>
            <w:pPr>
              <w:spacing w:after="0"/>
            </w:pPr>
            <w:r>
              <w:rPr>
                <w:rFonts w:ascii="Arial" w:hAnsi="Arial" w:cs="Arial"/>
                <w:sz w:val="19"/>
                <w:szCs w:val="19"/>
              </w:rPr>
              <w:t xml:space="preserve">• Censored: </w:t>
            </w:r>
            <w:r>
              <w:rPr>
                <w:rFonts w:ascii="Arial" w:hAnsi="Arial" w:cs="Arial"/>
                <w:b/>
                <w:sz w:val="19"/>
                <w:szCs w:val="19"/>
              </w:rPr>
              <w:t>24,437</w:t>
            </w:r>
          </w:p>
        </w:tc>
        <w:tc>
          <w:tcPr>
            <w:tcW w:w="4680" w:type="dxa"/>
            <w:gridSpan w:val="2"/>
            <w:shd w:val="clear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6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>Post-AKI survival cohort (N = 9,109)</w:t>
            </w:r>
          </w:p>
          <w:p>
            <w:pPr>
              <w:spacing w:after="30"/>
            </w:pPr>
            <w:r>
              <w:rPr>
                <w:rFonts w:ascii="Arial" w:hAnsi="Arial" w:cs="Arial"/>
                <w:sz w:val="19"/>
                <w:szCs w:val="19"/>
              </w:rPr>
              <w:t xml:space="preserve">• Incident CKD (≥90d post-discharge): </w:t>
            </w:r>
            <w:r>
              <w:rPr>
                <w:rFonts w:ascii="Arial" w:hAnsi="Arial" w:cs="Arial"/>
                <w:b/>
                <w:sz w:val="19"/>
                <w:szCs w:val="19"/>
              </w:rPr>
              <w:t>274</w:t>
            </w:r>
            <w:r>
              <w:rPr>
                <w:rFonts w:ascii="Arial" w:hAnsi="Arial" w:cs="Arial"/>
                <w:sz w:val="17"/>
                <w:szCs w:val="17"/>
              </w:rPr>
              <w:t xml:space="preserve"> (lab-based n=871)</w:t>
            </w:r>
          </w:p>
          <w:p>
            <w:pPr>
              <w:spacing w:after="30"/>
            </w:pPr>
            <w:r>
              <w:rPr>
                <w:rFonts w:ascii="Arial" w:hAnsi="Arial" w:cs="Arial"/>
                <w:sz w:val="19"/>
                <w:szCs w:val="19"/>
              </w:rPr>
              <w:t xml:space="preserve">• PostCKD/ESRD (≥90d): </w:t>
            </w:r>
            <w:r>
              <w:rPr>
                <w:rFonts w:ascii="Arial" w:hAnsi="Arial" w:cs="Arial"/>
                <w:b/>
                <w:sz w:val="19"/>
                <w:szCs w:val="19"/>
              </w:rPr>
              <w:t>60</w:t>
            </w:r>
          </w:p>
          <w:p>
            <w:pPr>
              <w:spacing w:after="30"/>
            </w:pPr>
            <w:r>
              <w:rPr>
                <w:rFonts w:ascii="Arial" w:hAnsi="Arial" w:cs="Arial"/>
                <w:sz w:val="19"/>
                <w:szCs w:val="19"/>
              </w:rPr>
              <w:t xml:space="preserve">• Death: </w:t>
            </w:r>
            <w:r>
              <w:rPr>
                <w:rFonts w:ascii="Arial" w:hAnsi="Arial" w:cs="Arial"/>
                <w:b/>
                <w:sz w:val="19"/>
                <w:szCs w:val="19"/>
              </w:rPr>
              <w:t>5,410</w:t>
            </w:r>
          </w:p>
          <w:p>
            <w:pPr>
              <w:spacing w:after="0"/>
            </w:pPr>
            <w:r>
              <w:rPr>
                <w:rFonts w:ascii="Arial" w:hAnsi="Arial" w:cs="Arial"/>
                <w:sz w:val="19"/>
                <w:szCs w:val="19"/>
              </w:rPr>
              <w:t xml:space="preserve">• Censored: </w:t>
            </w:r>
            <w:r>
              <w:rPr>
                <w:rFonts w:ascii="Arial" w:hAnsi="Arial" w:cs="Arial"/>
                <w:b/>
                <w:sz w:val="19"/>
                <w:szCs w:val="19"/>
              </w:rPr>
              <w:t>3,365</w:t>
            </w:r>
          </w:p>
        </w:tc>
      </w:tr>
    </w:tbl>
    <w:p>
      <w:pPr>
        <w:spacing w:before="300" w:after="100"/>
      </w:pPr>
      <w:r>
        <w:rPr>
          <w:rFonts w:ascii="Arial" w:hAnsi="Arial" w:cs="Arial"/>
          <w:b/>
          <w:color w:val="1F3864"/>
          <w:sz w:val="22"/>
          <w:szCs w:val="22"/>
        </w:rPr>
        <w:t>Reference Table — All Pipeline Steps with Verified Counts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w="5360" w:type="dxa"/>
            <w:shd w:val="clear" w:fill="1F3864"/>
          </w:tcPr>
          <w:p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000" w:type="dxa"/>
            <w:shd w:val="clear" w:fill="1F3864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MIMIC-IV</w:t>
            </w:r>
          </w:p>
        </w:tc>
        <w:tc>
          <w:tcPr>
            <w:tcW w:w="2000" w:type="dxa"/>
            <w:shd w:val="clear" w:fill="2E5F8A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MIMIC-III</w:t>
            </w:r>
          </w:p>
        </w:tc>
      </w:tr>
      <w:tr>
        <w:tc>
          <w:tcPr>
            <w:tcW w:w="5360" w:type="dxa"/>
            <w:shd w:val="clear" w:fill="EBF3FB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1. All adult admissions (≥18 y)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546,028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50,766</w:t>
            </w:r>
          </w:p>
        </w:tc>
      </w:tr>
      <w:tr>
        <w:tc>
          <w:tcPr>
            <w:tcW w:w="5360" w:type="dxa"/>
          </w:tcPr>
          <w:p>
            <w:pPr>
              <w:ind w:left="240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>Excluded</w:t>
            </w:r>
          </w:p>
          <w:p>
            <w:pPr>
              <w:spacing w:after="10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 xml:space="preserve">  Age &lt;18 y</w:t>
            </w:r>
          </w:p>
          <w:p>
            <w:pPr>
              <w:spacing w:after="10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 xml:space="preserve">  Primary AKI (seq_num=1)</w:t>
            </w:r>
          </w:p>
          <w:p>
            <w:pPr>
              <w:spacing w:after="10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 xml:space="preserve">  Prior CKD</w:t>
            </w:r>
          </w:p>
          <w:p>
            <w:pPr>
              <w:spacing w:after="10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 xml:space="preserve">  ESRD/dialysis</w:t>
            </w:r>
          </w:p>
          <w:p>
            <w:pPr>
              <w:spacing w:after="0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 xml:space="preserve">  Kidney transplant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>7,419</w:t>
            </w:r>
          </w:p>
          <w:p>
            <w:pPr>
              <w:jc w:val="center"/>
              <w:spacing w:after="10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>0</w:t>
            </w:r>
          </w:p>
          <w:p>
            <w:pPr>
              <w:jc w:val="center"/>
              <w:spacing w:after="10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>6,888</w:t>
            </w:r>
          </w:p>
          <w:p>
            <w:pPr>
              <w:jc w:val="center"/>
              <w:spacing w:after="10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>531</w:t>
            </w:r>
          </w:p>
          <w:p>
            <w:pPr>
              <w:jc w:val="center"/>
              <w:spacing w:after="10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/>
            </w:r>
          </w:p>
          <w:p>
            <w:pPr>
              <w:jc w:val="center"/>
              <w:spacing w:after="0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/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>690</w:t>
            </w:r>
          </w:p>
          <w:p>
            <w:pPr>
              <w:jc w:val="center"/>
              <w:spacing w:after="10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>0</w:t>
            </w:r>
          </w:p>
          <w:p>
            <w:pPr>
              <w:jc w:val="center"/>
              <w:spacing w:after="10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>645</w:t>
            </w:r>
          </w:p>
          <w:p>
            <w:pPr>
              <w:jc w:val="center"/>
              <w:spacing w:after="10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>45</w:t>
            </w:r>
          </w:p>
          <w:p>
            <w:pPr>
              <w:jc w:val="center"/>
              <w:spacing w:after="10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/>
            </w:r>
          </w:p>
          <w:p>
            <w:pPr>
              <w:jc w:val="center"/>
              <w:spacing w:after="0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/>
            </w:r>
          </w:p>
        </w:tc>
      </w:tr>
      <w:tr>
        <w:tc>
          <w:tcPr>
            <w:tcW w:w="5360" w:type="dxa"/>
            <w:shd w:val="clear" w:fill="EBF3FB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2. Eligible admissions (target_admissions.parquet)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538,609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50,076</w:t>
            </w:r>
          </w:p>
        </w:tc>
      </w:tr>
      <w:tr>
        <w:tc>
          <w:tcPr>
            <w:tcW w:w="5360" w:type="dxa"/>
          </w:tcPr>
          <w:p>
            <w:pPr>
              <w:ind w:left="240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>Not incident AKI eligible — label NA (overlapping reasons)</w:t>
            </w:r>
          </w:p>
          <w:p>
            <w:pPr>
              <w:ind w:left="240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 xml:space="preserve">  CKD-only admissions (no AKI)</w:t>
            </w:r>
          </w:p>
          <w:p>
            <w:pPr>
              <w:ind w:left="240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 xml:space="preserve">  Repeat AKI (prior AKI history)</w:t>
            </w:r>
          </w:p>
          <w:p>
            <w:pPr>
              <w:ind w:left="240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 xml:space="preserve">  Prior renal impairment, no current AKI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>−92,280</w:t>
            </w:r>
          </w:p>
          <w:p>
            <w:pPr>
              <w:jc w:val="center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>51,606</w:t>
            </w:r>
          </w:p>
          <w:p>
            <w:pPr>
              <w:jc w:val="center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>25,922</w:t>
            </w:r>
          </w:p>
          <w:p>
            <w:pPr>
              <w:jc w:val="center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>14,752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>−5,701</w:t>
            </w:r>
          </w:p>
          <w:p>
            <w:pPr>
              <w:jc w:val="center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>3,715</w:t>
            </w:r>
          </w:p>
          <w:p>
            <w:pPr>
              <w:jc w:val="center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>1,661</w:t>
            </w:r>
          </w:p>
          <w:p>
            <w:pPr>
              <w:jc w:val="center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>325</w:t>
            </w:r>
          </w:p>
        </w:tc>
      </w:tr>
      <w:tr>
        <w:tc>
          <w:tcPr>
            <w:tcW w:w="5360" w:type="dxa"/>
            <w:shd w:val="clear" w:fill="EBF3FB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3. Labeled admissions (incident_aki_target.parquet)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> 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> </w:t>
            </w:r>
          </w:p>
        </w:tc>
      </w:tr>
      <w:tr>
        <w:tc>
          <w:tcPr>
            <w:tcW w:w="5360" w:type="dxa"/>
            <w:shd w:val="clear" w:fill="EBF3FB"/>
          </w:tcPr>
          <w:p>
            <w:pPr>
              <w:ind w:left="240"/>
            </w:pPr>
            <w:r>
              <w:rPr>
                <w:rFonts w:ascii="Arial" w:hAnsi="Arial" w:cs="Arial"/>
                <w:sz w:val="18"/>
                <w:szCs w:val="18"/>
              </w:rPr>
              <w:t>Incident AKI (label = 1)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40,392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9,109</w:t>
            </w:r>
          </w:p>
        </w:tc>
      </w:tr>
      <w:tr>
        <w:tc>
          <w:tcPr>
            <w:tcW w:w="5360" w:type="dxa"/>
            <w:shd w:val="clear" w:fill="EBF3FB"/>
          </w:tcPr>
          <w:p>
            <w:pPr>
              <w:ind w:left="240"/>
            </w:pPr>
            <w:r>
              <w:rPr>
                <w:rFonts w:ascii="Arial" w:hAnsi="Arial" w:cs="Arial"/>
                <w:sz w:val="18"/>
                <w:szCs w:val="18"/>
              </w:rPr>
              <w:t>No AKI (label = 0)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405,937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35,267</w:t>
            </w:r>
          </w:p>
        </w:tc>
      </w:tr>
      <w:tr>
        <w:tc>
          <w:tcPr>
            <w:tcW w:w="5360" w:type="dxa"/>
          </w:tcPr>
          <w:p>
            <w:pPr>
              <w:ind w:left="240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>Dedup: keep first AKI+ or last AKI− per patient; drop rest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>−232,299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>−7,959</w:t>
            </w:r>
          </w:p>
        </w:tc>
      </w:tr>
      <w:tr>
        <w:tc>
          <w:tcPr>
            <w:tcW w:w="5360" w:type="dxa"/>
            <w:shd w:val="clear" w:fill="EBF3FB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4. Patient-level cohort (target.parquet)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> 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> </w:t>
            </w:r>
          </w:p>
        </w:tc>
      </w:tr>
      <w:tr>
        <w:tc>
          <w:tcPr>
            <w:tcW w:w="5360" w:type="dxa"/>
            <w:shd w:val="clear" w:fill="EBF3FB"/>
          </w:tcPr>
          <w:p>
            <w:pPr>
              <w:ind w:left="240"/>
            </w:pPr>
            <w:r>
              <w:rPr>
                <w:rFonts w:ascii="Arial" w:hAnsi="Arial" w:cs="Arial"/>
                <w:sz w:val="18"/>
                <w:szCs w:val="18"/>
              </w:rPr>
              <w:t>Incident AKI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40,392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9,109</w:t>
            </w:r>
          </w:p>
        </w:tc>
      </w:tr>
      <w:tr>
        <w:tc>
          <w:tcPr>
            <w:tcW w:w="5360" w:type="dxa"/>
            <w:shd w:val="clear" w:fill="EBF3FB"/>
          </w:tcPr>
          <w:p>
            <w:pPr>
              <w:ind w:left="240"/>
            </w:pPr>
            <w:r>
              <w:rPr>
                <w:rFonts w:ascii="Arial" w:hAnsi="Arial" w:cs="Arial"/>
                <w:sz w:val="18"/>
                <w:szCs w:val="18"/>
              </w:rPr>
              <w:t>No AKI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173,638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27,353</w:t>
            </w:r>
          </w:p>
        </w:tc>
      </w:tr>
      <w:tr>
        <w:tc>
          <w:tcPr>
            <w:tcW w:w="5360" w:type="dxa"/>
            <w:shd w:val="clear" w:fill="EBF3FB"/>
          </w:tcPr>
          <w:p>
            <w:r>
              <w:rPr>
                <w:rFonts w:ascii="Arial" w:hAnsi="Arial" w:cs="Arial"/>
                <w:sz w:val="18"/>
                <w:szCs w:val="18"/>
              </w:rPr>
              <w:t xml:space="preserve">   CKD survival exclusions (CKD/ESRD &lt;90d, no follow-up)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−3,889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−99</w:t>
            </w:r>
          </w:p>
        </w:tc>
      </w:tr>
      <w:tr>
        <w:tc>
          <w:tcPr>
            <w:tcW w:w="5360" w:type="dxa"/>
            <w:shd w:val="clear" w:fill="EBF3FB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5. Post-AKI survival cohort (incident_ckd_survival.csv)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N = 36,503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N = 9,010</w:t>
            </w:r>
          </w:p>
        </w:tc>
      </w:tr>
      <w:tr>
        <w:tc>
          <w:tcPr>
            <w:tcW w:w="5360" w:type="dxa"/>
            <w:shd w:val="clear" w:fill="EBF3FB"/>
          </w:tcPr>
          <w:p>
            <w:pPr>
              <w:ind w:left="240"/>
            </w:pPr>
            <w:r>
              <w:rPr>
                <w:rFonts w:ascii="Arial" w:hAnsi="Arial" w:cs="Arial"/>
                <w:sz w:val="18"/>
                <w:szCs w:val="18"/>
              </w:rPr>
              <w:t>Incident CKD (≥90d post-discharge)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9,477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274</w:t>
            </w:r>
          </w:p>
        </w:tc>
      </w:tr>
      <w:tr>
        <w:tc>
          <w:tcPr>
            <w:tcW w:w="5360" w:type="dxa"/>
            <w:shd w:val="clear" w:fill="EBF3FB"/>
          </w:tcPr>
          <w:p>
            <w:pPr>
              <w:ind w:left="240"/>
            </w:pPr>
            <w:r>
              <w:rPr>
                <w:rFonts w:ascii="Arial" w:hAnsi="Arial" w:cs="Arial"/>
                <w:sz w:val="18"/>
                <w:szCs w:val="18"/>
              </w:rPr>
              <w:t>Progression to ESRD / dialysis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926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60</w:t>
            </w:r>
          </w:p>
        </w:tc>
      </w:tr>
      <w:tr>
        <w:tc>
          <w:tcPr>
            <w:tcW w:w="5360" w:type="dxa"/>
            <w:shd w:val="clear" w:fill="EBF3FB"/>
          </w:tcPr>
          <w:p>
            <w:pPr>
              <w:ind w:left="240"/>
            </w:pPr>
            <w:r>
              <w:rPr>
                <w:rFonts w:ascii="Arial" w:hAnsi="Arial" w:cs="Arial"/>
                <w:sz w:val="18"/>
                <w:szCs w:val="18"/>
              </w:rPr>
              <w:t>All-cause death (≥90d post-discharge)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5,552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5,410</w:t>
            </w:r>
          </w:p>
        </w:tc>
      </w:tr>
      <w:tr>
        <w:tc>
          <w:tcPr>
            <w:tcW w:w="5360" w:type="dxa"/>
            <w:shd w:val="clear" w:fill="EBF3FB"/>
          </w:tcPr>
          <w:p>
            <w:pPr>
              <w:ind w:left="240"/>
            </w:pPr>
            <w:r>
              <w:rPr>
                <w:rFonts w:ascii="Arial" w:hAnsi="Arial" w:cs="Arial"/>
                <w:sz w:val="18"/>
                <w:szCs w:val="18"/>
              </w:rPr>
              <w:t>Censored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24,437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3,365</w:t>
            </w:r>
          </w:p>
        </w:tc>
      </w:tr>
    </w:tbl>
    <w:p>
      <w:pPr>
        <w:spacing w:before="200" w:after="80"/>
      </w:pPr>
      <w:r>
        <w:rPr>
          <w:rFonts w:ascii="Arial" w:hAnsi="Arial" w:cs="Arial"/>
          <w:b/>
          <w:sz w:val="18"/>
          <w:szCs w:val="18"/>
        </w:rPr>
        <w:t>Data sources:</w:t>
      </w:r>
    </w:p>
    <w:p>
      <w:pPr>
        <w:spacing w:after="60"/>
        <w:ind w:left="240"/>
      </w:pPr>
      <w:r>
        <w:rPr>
          <w:rFonts w:ascii="Arial" w:hAnsi="Arial" w:cs="Arial"/>
          <w:sz w:val="17"/>
          <w:szCs w:val="17"/>
        </w:rPr>
        <w:t>All counts verified from: target_admissions.parquet, incident_aki_target.parquet, target.parquet, incident_ckd_survival.csv.</w:t>
      </w:r>
    </w:p>
    <w:p>
      <w:pPr>
        <w:spacing w:after="60"/>
        <w:ind w:left="240"/>
      </w:pPr>
      <w:r>
        <w:rPr>
          <w:rFonts w:ascii="Arial" w:hAnsi="Arial" w:cs="Arial"/>
          <w:sz w:val="17"/>
          <w:szCs w:val="17"/>
        </w:rPr>
        <w:t>Incident CKD defined by ICD-9/10 codes ≥90 days post-discharge. Sensitivity analyses (lab-based eGFR, KDIGO timing) reported separately.</w:t>
      </w:r>
    </w:p>
    <w:sectPr>
      <w:pgSz w:w="12240" w:h="15840"/>
      <w:pgMar w:top="1080" w:right="1080" w:bottom="1080" w:left="1080" w:header="720" w:footer="720" w:gutter="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
<Relationships xmlns="http://schemas.openxmlformats.org/package/2006/relationships"/>
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settings" Target="settings.xml"/>
  <Relationship Id="rId6" Type="http://schemas.openxmlformats.org/officeDocument/2006/relationships/comments" Target="comments.xml"/>
  <Relationship Id="rId7" Type="http://schemas.openxmlformats.org/officeDocument/2006/relationships/fontTable" Target="fontTable.xml"/>
</Relationships>

</file>

<file path=word/_rels/endnotes.xml.rels><?xml version="1.0" encoding="utf-8"?>
<Relationships xmlns="http://schemas.openxmlformats.org/package/2006/relationships"/>

</file>

<file path=word/_rels/fontTable.xml.rels><?xml version="1.0" encoding="utf-8"?>
<Relationships xmlns="http://schemas.openxmlformats.org/package/2006/relationships"/>

</file>

<file path=word/_rels/footnotes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2026-06-04T02:40:16.880Z</dcterms:created>
  <dcterms:modified xsi:type="dcterms:W3CDTF">2026-06-04T02:40:16.881Z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