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hAnsi="Arial" w:cs="Arial"/>
          <w:b/>
          <w:color w:val="1F3864"/>
          <w:sz w:val="28"/>
          <w:szCs w:val="28"/>
        </w:rPr>
        <w:t>CONSORT-Style Cohort Flow Diagram</w:t>
      </w:r>
    </w:p>
    <w:p>
      <w:pPr>
        <w:spacing w:after="200"/>
        <w:jc w:val="center"/>
      </w:pPr>
      <w:r>
        <w:rPr>
          <w:rFonts w:ascii="Arial" w:hAnsi="Arial" w:cs="Arial"/>
          <w:i/>
          <w:color w:val="555555"/>
          <w:sz w:val="20"/>
          <w:szCs w:val="20"/>
        </w:rPr>
        <w:t>Patient-level counts — current run, fully reproducible from committed code (keep autocar)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fill="1F3864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MIMIC-IV (Development)</w:t>
            </w:r>
          </w:p>
        </w:tc>
        <w:tc>
          <w:tcPr>
            <w:tcW w:w="4680" w:type="dxa"/>
            <w:shd w:val="clear" w:fill="2E5F8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MIMIC-III (External Validation)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sz w:val="22"/>
                <w:szCs w:val="22"/>
              </w:rPr>
              <w:t>All adult patients (≥18 y)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1F3864"/>
                <w:sz w:val="26"/>
                <w:szCs w:val="26"/>
              </w:rPr>
              <w:t>n = 223,452</w:t>
            </w:r>
          </w:p>
        </w:tc>
        <w:tc>
          <w:tcPr>
            <w:tcW w:w="4680" w:type="dxa"/>
            <w:shd w:val="clear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sz w:val="22"/>
                <w:szCs w:val="22"/>
              </w:rPr>
              <w:t>All adult patients (≥18 y)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2E5F8A"/>
                <w:sz w:val="26"/>
                <w:szCs w:val="26"/>
              </w:rPr>
              <w:t>n = 38,552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1300"/>
        <w:gridCol w:w="3380"/>
        <w:gridCol w:w="1300"/>
        <w:gridCol w:w="3380"/>
      </w:tblGrid>
      <w:tr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1F3864"/>
                <w:sz w:val="28"/>
                <w:szCs w:val="28"/>
              </w:rPr>
              <w:t>↓</w:t>
            </w:r>
          </w:p>
        </w:tc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Excluded: 914 patients</w:t>
            </w:r>
          </w:p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>• AKI as primary diagnosis (all admissions): 753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>• No matching ICD codes: 161</w:t>
            </w:r>
          </w:p>
        </w:tc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2E5F8A"/>
                <w:sz w:val="28"/>
                <w:szCs w:val="28"/>
              </w:rPr>
              <w:t>↓</w:t>
            </w:r>
          </w:p>
        </w:tc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Excluded: 299 patients</w:t>
            </w:r>
          </w:p>
          <w:p>
            <w:pPr>
              <w:spacing w:after="20"/>
            </w:pPr>
            <w:r>
              <w:rPr>
                <w:rFonts w:ascii="Arial" w:hAnsi="Arial" w:cs="Arial"/>
                <w:sz w:val="17"/>
                <w:szCs w:val="17"/>
              </w:rPr>
              <w:t>• AKI as primary diagnosis (all admissions): 296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>• No matching ICD codes: 3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fill="D0E8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Eligible patients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1F3864"/>
                <w:sz w:val="24"/>
                <w:szCs w:val="24"/>
              </w:rPr>
              <w:t>n = 222,538</w:t>
            </w:r>
          </w:p>
        </w:tc>
        <w:tc>
          <w:tcPr>
            <w:tcW w:w="4680" w:type="dxa"/>
            <w:shd w:val="clear" w:fill="D0E8FF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Eligible patients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2E5F8A"/>
                <w:sz w:val="24"/>
                <w:szCs w:val="24"/>
              </w:rPr>
              <w:t>n = 38,253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1300"/>
        <w:gridCol w:w="3380"/>
        <w:gridCol w:w="1300"/>
        <w:gridCol w:w="3380"/>
      </w:tblGrid>
      <w:tr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1F3864"/>
                <w:sz w:val="28"/>
                <w:szCs w:val="28"/>
              </w:rPr>
              <w:t>↓</w:t>
            </w:r>
          </w:p>
        </w:tc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Excluded: 8,508 patients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>• Patients with CKD-only admissions and no incident AKI across all visits</w:t>
            </w:r>
          </w:p>
        </w:tc>
        <w:tc>
          <w:tcPr>
            <w:tcW w:w="1300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color w:val="2E5F8A"/>
                <w:sz w:val="28"/>
                <w:szCs w:val="28"/>
              </w:rPr>
              <w:t>↓</w:t>
            </w:r>
          </w:p>
        </w:tc>
        <w:tc>
          <w:tcPr>
            <w:tcW w:w="3380" w:type="dxa"/>
            <w:shd w:val="clear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30"/>
            </w:pPr>
            <w:r>
              <w:rPr>
                <w:rFonts w:ascii="Arial" w:hAnsi="Arial" w:cs="Arial"/>
                <w:b/>
                <w:color w:val="BF360C"/>
                <w:sz w:val="18"/>
                <w:szCs w:val="18"/>
              </w:rPr>
              <w:t>Excluded: 1,791 patients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7"/>
                <w:szCs w:val="17"/>
              </w:rPr>
              <w:t>• Patients with CKD-only admissions and no incident AKI across all visits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fill="C6282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3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Incident AKI (ICD-coded)</w:t>
            </w:r>
          </w:p>
          <w:p>
            <w:pPr>
              <w:spacing w:after="20"/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n = 40,392 (18.9%)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color w:val="FFCDD2"/>
                <w:sz w:val="17"/>
                <w:szCs w:val="17"/>
              </w:rPr>
              <w:t>autocar flag: 16,969 (42.0%)</w:t>
            </w:r>
          </w:p>
        </w:tc>
        <w:tc>
          <w:tcPr>
            <w:tcW w:w="2340" w:type="dxa"/>
            <w:shd w:val="clear" w:fill="2E7D3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3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No AKI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n = 173,638 (81.1%)</w:t>
            </w:r>
          </w:p>
        </w:tc>
        <w:tc>
          <w:tcPr>
            <w:tcW w:w="2340" w:type="dxa"/>
            <w:shd w:val="clear" w:fill="C6282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3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Incident AKI (ICD-coded)</w:t>
            </w:r>
          </w:p>
          <w:p>
            <w:pPr>
              <w:spacing w:after="20"/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n = 9,109 (25.0%)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color w:val="FFCDD2"/>
                <w:sz w:val="17"/>
                <w:szCs w:val="17"/>
              </w:rPr>
              <w:t>autocar flag: 5,230 (57.4%)</w:t>
            </w:r>
          </w:p>
        </w:tc>
        <w:tc>
          <w:tcPr>
            <w:tcW w:w="2340" w:type="dxa"/>
            <w:shd w:val="clear" w:fill="2E7D3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30"/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No AKI</w:t>
            </w:r>
          </w:p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n = 27,353 (75.0%)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before="40" w:after="0"/>
              <w:jc w:val="center"/>
            </w:pPr>
            <w:r>
              <w:rPr>
                <w:rFonts w:ascii="Arial" w:hAnsi="Arial" w:cs="Arial"/>
                <w:color w:val="C62828"/>
                <w:sz w:val="28"/>
                <w:szCs w:val="28"/>
              </w:rPr>
              <w:t>↓</w:t>
            </w:r>
          </w:p>
        </w:tc>
        <w:tc>
          <w:tcPr>
            <w:tcW w:w="2340" w:type="dxa"/>
          </w:tcPr>
          <w:p>
            <w:pPr>
              <w:spacing w:before="40" w:after="0"/>
            </w:pPr>
            <w:r>
              <w:t xml:space="preserve"> </w:t>
            </w:r>
          </w:p>
        </w:tc>
        <w:tc>
          <w:tcPr>
            <w:tcW w:w="2340" w:type="dxa"/>
          </w:tcPr>
          <w:p>
            <w:pPr>
              <w:spacing w:before="40" w:after="0"/>
              <w:jc w:val="center"/>
            </w:pPr>
            <w:r>
              <w:rPr>
                <w:rFonts w:ascii="Arial" w:hAnsi="Arial" w:cs="Arial"/>
                <w:color w:val="C62828"/>
                <w:sz w:val="28"/>
                <w:szCs w:val="28"/>
              </w:rPr>
              <w:t>↓</w:t>
            </w:r>
          </w:p>
        </w:tc>
        <w:tc>
          <w:tcPr>
            <w:tcW w:w="2340" w:type="dxa"/>
          </w:tcPr>
          <w:p>
            <w:pPr>
              <w:spacing w:before="40" w:after="0"/>
            </w:pPr>
            <w:r>
              <w:t xml:space="preserve"> 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2" w:type="dxa"/>
          <w:left w:w="2" w:type="dxa"/>
          <w:bottom w:w="2" w:type="dxa"/>
          <w:right w:w="2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4680" w:type="dxa"/>
            <w:gridSpan w:val="2"/>
            <w:shd w:val="clear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Post-AKI follow-up (N = 40,392)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Incident CKD (≥90d post-discharge): </w:t>
            </w:r>
            <w:r>
              <w:rPr>
                <w:rFonts w:ascii="Arial" w:hAnsi="Arial" w:cs="Arial"/>
                <w:b/>
                <w:sz w:val="19"/>
                <w:szCs w:val="19"/>
              </w:rPr>
              <w:t>9,477 (23.5%)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Progression to ESRD / dialysis: </w:t>
            </w:r>
            <w:r>
              <w:rPr>
                <w:rFonts w:ascii="Arial" w:hAnsi="Arial" w:cs="Arial"/>
                <w:b/>
                <w:sz w:val="19"/>
                <w:szCs w:val="19"/>
              </w:rPr>
              <w:t>926 (2.3%)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All-cause death (≥90d post-discharge): </w:t>
            </w:r>
            <w:r>
              <w:rPr>
                <w:rFonts w:ascii="Arial" w:hAnsi="Arial" w:cs="Arial"/>
                <w:b/>
                <w:sz w:val="19"/>
                <w:szCs w:val="19"/>
              </w:rPr>
              <w:t>5,552 (13.7%)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9"/>
                <w:szCs w:val="19"/>
              </w:rPr>
              <w:t xml:space="preserve">• Censored: </w:t>
            </w:r>
            <w:r>
              <w:rPr>
                <w:rFonts w:ascii="Arial" w:hAnsi="Arial" w:cs="Arial"/>
                <w:b/>
                <w:sz w:val="19"/>
                <w:szCs w:val="19"/>
              </w:rPr>
              <w:t>24,437 (60.5%)</w:t>
            </w:r>
          </w:p>
        </w:tc>
        <w:tc>
          <w:tcPr>
            <w:tcW w:w="4680" w:type="dxa"/>
            <w:gridSpan w:val="2"/>
            <w:shd w:val="clear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6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Post-AKI follow-up (N = 9,109)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Incident CKD (≥90d post-discharge): </w:t>
            </w:r>
            <w:r>
              <w:rPr>
                <w:rFonts w:ascii="Arial" w:hAnsi="Arial" w:cs="Arial"/>
                <w:b/>
                <w:sz w:val="19"/>
                <w:szCs w:val="19"/>
              </w:rPr>
              <w:t>274 (3.0%)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Progression to ESRD / dialysis: </w:t>
            </w:r>
            <w:r>
              <w:rPr>
                <w:rFonts w:ascii="Arial" w:hAnsi="Arial" w:cs="Arial"/>
                <w:b/>
                <w:sz w:val="19"/>
                <w:szCs w:val="19"/>
              </w:rPr>
              <w:t>60 (0.7%)</w:t>
            </w:r>
          </w:p>
          <w:p>
            <w:pPr>
              <w:spacing w:after="30"/>
            </w:pPr>
            <w:r>
              <w:rPr>
                <w:rFonts w:ascii="Arial" w:hAnsi="Arial" w:cs="Arial"/>
                <w:sz w:val="19"/>
                <w:szCs w:val="19"/>
              </w:rPr>
              <w:t xml:space="preserve">• All-cause death (≥90d post-discharge): </w:t>
            </w:r>
            <w:r>
              <w:rPr>
                <w:rFonts w:ascii="Arial" w:hAnsi="Arial" w:cs="Arial"/>
                <w:b/>
                <w:sz w:val="19"/>
                <w:szCs w:val="19"/>
              </w:rPr>
              <w:t>5,410 (59.4%)</w:t>
            </w:r>
          </w:p>
          <w:p>
            <w:pPr>
              <w:spacing w:after="0"/>
            </w:pPr>
            <w:r>
              <w:rPr>
                <w:rFonts w:ascii="Arial" w:hAnsi="Arial" w:cs="Arial"/>
                <w:sz w:val="19"/>
                <w:szCs w:val="19"/>
              </w:rPr>
              <w:t xml:space="preserve">• Censored: </w:t>
            </w:r>
            <w:r>
              <w:rPr>
                <w:rFonts w:ascii="Arial" w:hAnsi="Arial" w:cs="Arial"/>
                <w:b/>
                <w:sz w:val="19"/>
                <w:szCs w:val="19"/>
              </w:rPr>
              <w:t>3,365 (36.9%)</w:t>
            </w:r>
          </w:p>
        </w:tc>
      </w:tr>
    </w:tbl>
    <w:p>
      <w:pPr>
        <w:spacing w:before="300" w:after="100"/>
      </w:pPr>
      <w:r>
        <w:rPr>
          <w:rFonts w:ascii="Arial" w:hAnsi="Arial" w:cs="Arial"/>
          <w:b/>
          <w:color w:val="1F3864"/>
          <w:sz w:val="22"/>
          <w:szCs w:val="22"/>
        </w:rPr>
        <w:t>Reference Table — Patient-Level Counts End to End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w="5360" w:type="dxa"/>
            <w:shd w:val="clear" w:fill="1F3864"/>
          </w:tcPr>
          <w:p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shd w:val="clear" w:fill="1F3864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MIMIC-IV</w:t>
            </w:r>
          </w:p>
        </w:tc>
        <w:tc>
          <w:tcPr>
            <w:tcW w:w="2000" w:type="dxa"/>
            <w:shd w:val="clear" w:fill="2E5F8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MIMIC-III</w:t>
            </w:r>
          </w:p>
        </w:tc>
      </w:tr>
      <w:tr>
        <w:tc>
          <w:tcPr>
            <w:tcW w:w="536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1. All adult patients (≥18 y)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223,452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38,552</w:t>
            </w:r>
          </w:p>
        </w:tc>
      </w:tr>
      <w:tr>
        <w:tc>
          <w:tcPr>
            <w:tcW w:w="5360" w:type="dxa"/>
          </w:tcPr>
          <w:p>
            <w:pPr>
              <w:ind w:left="24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 Primary AKI as only diagnosis (all admissions)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−753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−296</w:t>
            </w:r>
          </w:p>
        </w:tc>
      </w:tr>
      <w:tr>
        <w:tc>
          <w:tcPr>
            <w:tcW w:w="5360" w:type="dxa"/>
          </w:tcPr>
          <w:p>
            <w:pPr>
              <w:ind w:left="24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 No matching ICD codes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−161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−3</w:t>
            </w:r>
          </w:p>
        </w:tc>
      </w:tr>
      <w:tr>
        <w:tc>
          <w:tcPr>
            <w:tcW w:w="536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2. Eligible patients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222,538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38,253</w:t>
            </w:r>
          </w:p>
        </w:tc>
      </w:tr>
      <w:tr>
        <w:tc>
          <w:tcPr>
            <w:tcW w:w="5360" w:type="dxa"/>
          </w:tcPr>
          <w:p>
            <w:pPr>
              <w:ind w:left="240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 CKD-only, no incident AKI ever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−8,508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BF360C"/>
                <w:sz w:val="17"/>
                <w:szCs w:val="17"/>
              </w:rPr>
              <w:t>−1,791</w:t>
            </w:r>
          </w:p>
        </w:tc>
      </w:tr>
      <w:tr>
        <w:tc>
          <w:tcPr>
            <w:tcW w:w="5360" w:type="dxa"/>
          </w:tcPr>
          <w:p>
            <w:pPr>
              <w:ind w:left="480"/>
            </w:pPr>
            <w:r>
              <w:rPr>
                <w:rFonts w:ascii="Arial" w:hAnsi="Arial" w:cs="Arial"/>
                <w:i/>
                <w:color w:val="777777"/>
                <w:sz w:val="16"/>
                <w:szCs w:val="16"/>
              </w:rPr>
              <w:t>(of which also prior renal impaired)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777777"/>
                <w:sz w:val="16"/>
                <w:szCs w:val="16"/>
              </w:rPr>
              <w:t>(949)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777777"/>
                <w:sz w:val="16"/>
                <w:szCs w:val="16"/>
              </w:rPr>
              <w:t>(67)</w:t>
            </w:r>
          </w:p>
        </w:tc>
      </w:tr>
      <w:tr>
        <w:tc>
          <w:tcPr>
            <w:tcW w:w="536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3. Patients with valid label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214,030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36,462</w:t>
            </w:r>
          </w:p>
        </w:tc>
      </w:tr>
      <w:tr>
        <w:tc>
          <w:tcPr>
            <w:tcW w:w="5360" w:type="dxa"/>
          </w:tcPr>
          <w:p>
            <w:pPr>
              <w:ind w:left="240"/>
            </w:pPr>
            <w:r>
              <w:rPr>
                <w:rFonts w:ascii="Arial" w:hAnsi="Arial" w:cs="Arial"/>
                <w:i/>
                <w:color w:val="777777"/>
                <w:sz w:val="17"/>
                <w:szCs w:val="17"/>
              </w:rPr>
              <w:t>Dedup to one admission per patient (no patients lost)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777777"/>
                <w:sz w:val="17"/>
                <w:szCs w:val="17"/>
              </w:rPr>
              <w:t>0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777777"/>
                <w:sz w:val="17"/>
                <w:szCs w:val="17"/>
              </w:rPr>
              <w:t>0</w:t>
            </w:r>
          </w:p>
        </w:tc>
      </w:tr>
      <w:tr>
        <w:tc>
          <w:tcPr>
            <w:tcW w:w="536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4. Final patient-level cohort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214,030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36,462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Incident AKI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40,392 (18.9%)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9,109 (25.0%)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480"/>
            </w:pPr>
            <w:r>
              <w:rPr>
                <w:rFonts w:ascii="Arial" w:hAnsi="Arial" w:cs="Arial"/>
                <w:i/>
                <w:color w:val="777777"/>
                <w:sz w:val="16"/>
                <w:szCs w:val="16"/>
              </w:rPr>
              <w:t>(of which autocar flag)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777777"/>
                <w:sz w:val="16"/>
                <w:szCs w:val="16"/>
              </w:rPr>
              <w:t>(16,969 / 42.0%)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i/>
                <w:color w:val="777777"/>
                <w:sz w:val="16"/>
                <w:szCs w:val="16"/>
              </w:rPr>
              <w:t>(5,230 / 57.4%)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No AKI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173,638 (81.1%)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27,353 (75.0%)</w:t>
            </w:r>
          </w:p>
        </w:tc>
      </w:tr>
      <w:tr>
        <w:tc>
          <w:tcPr>
            <w:tcW w:w="536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5. Post-AKI survival cohort (AKI patients only)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N = 40,392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N = 9,109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Incident CKD (≥90d post-discharge)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9,477 (23.5%)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274 (3.0%)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Progression to ESRD / dialysis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926 (2.3%)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60 (0.7%)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All-cause death (≥90d post-discharge)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5,552 (13.7%)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5,410 (59.4%)</w:t>
            </w:r>
          </w:p>
        </w:tc>
      </w:tr>
      <w:tr>
        <w:tc>
          <w:tcPr>
            <w:tcW w:w="5360" w:type="dxa"/>
            <w:shd w:val="clear" w:fill="EBF3FB"/>
          </w:tcPr>
          <w:p>
            <w:pPr>
              <w:ind w:left="240"/>
            </w:pPr>
            <w:r>
              <w:rPr>
                <w:rFonts w:ascii="Arial" w:hAnsi="Arial" w:cs="Arial"/>
                <w:sz w:val="18"/>
                <w:szCs w:val="18"/>
              </w:rPr>
              <w:t>Censored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24,437 (60.5%)</w:t>
            </w:r>
          </w:p>
        </w:tc>
        <w:tc>
          <w:tcPr>
            <w:tcW w:w="200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3,365 (36.9%)</w:t>
            </w:r>
          </w:p>
        </w:tc>
      </w:tr>
    </w:tbl>
    <w:p>
      <w:pPr>
        <w:spacing w:before="200" w:after="80"/>
      </w:pPr>
      <w:r>
        <w:rPr>
          <w:rFonts w:ascii="Arial" w:hAnsi="Arial" w:cs="Arial"/>
          <w:b/>
          <w:sz w:val="18"/>
          <w:szCs w:val="18"/>
        </w:rPr>
        <w:t>Notes:</w:t>
      </w:r>
    </w:p>
    <w:p>
      <w:pPr>
        <w:spacing w:after="60"/>
        <w:ind w:left="240"/>
      </w:pPr>
      <w:r>
        <w:rPr>
          <w:rFonts w:ascii="Arial" w:hAnsi="Arial" w:cs="Arial"/>
          <w:sz w:val="17"/>
          <w:szCs w:val="17"/>
        </w:rPr>
        <w:t>All counts are patient-level (unique subject_id). Autocar flag = ICD E810–E838 / V00–V89 codes on any diagnosis; these patients are retained in the keep-autocar run.</w:t>
      </w:r>
    </w:p>
    <w:p>
      <w:pPr>
        <w:spacing w:after="60"/>
        <w:ind w:left="240"/>
      </w:pPr>
      <w:r>
        <w:rPr>
          <w:rFonts w:ascii="Arial" w:hAnsi="Arial" w:cs="Arial"/>
          <w:sz w:val="17"/>
          <w:szCs w:val="17"/>
        </w:rPr>
        <w:t>AKI defined by ICD-9 (584.x) / ICD-10 (N17.x) codes in any non-primary diagnosis position, first incident AKI admission per patient. Incident CKD defined by ICD-9 (585.x) / ICD-10 (N18.x) codes ≥90 days post-discharge.</w:t>
      </w:r>
    </w:p>
    <w:p>
      <w:pPr>
        <w:spacing w:after="60"/>
        <w:ind w:left="240"/>
      </w:pPr>
      <w:r>
        <w:rPr>
          <w:rFonts w:ascii="Arial" w:hAnsi="Arial" w:cs="Arial"/>
          <w:sz w:val="17"/>
          <w:szCs w:val="17"/>
        </w:rPr>
        <w:t>All numbers verified from: data.pkl (Step 1), target_admissions.parquet (Step 2), target.parquet (Steps 3–4), incident_ckd_survival.csv (post-AKI outcomes).</w:t>
      </w:r>
    </w:p>
    <w:sect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2026-06-04T02:40:16.880Z</dcterms:created>
  <dcterms:modified xsi:type="dcterms:W3CDTF">2026-06-04T02:40:16.881Z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