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3864"/>
          <w:sz w:val="28"/>
          <w:szCs w:val="28"/>
        </w:rPr>
        <w:t xml:space="preserve">CKD Definition Sensitivity Analysis</w:t>
      </w:r>
    </w:p>
    <w:p>
      <w:pPr>
        <w:spacing w:after="160"/>
      </w:pPr>
      <w:r>
        <w:rPr>
          <w:rFonts w:ascii="Arial" w:cs="Arial" w:eastAsia="Arial" w:hAnsi="Arial"/>
          <w:i/>
          <w:iCs/>
          <w:color w:val="555555"/>
          <w:sz w:val="22"/>
          <w:szCs w:val="22"/>
        </w:rPr>
        <w:t xml:space="preserve">Document purpose: Record the rationale, implementation, and results of the CKD outcome definition sensitivity analysis — replacing ICD-code-based CKD with a laboratory eGFR-based definition using the 2021 race-free CKD-EPI equation.</w:t>
      </w:r>
    </w:p>
    <w:p>
      <w:pPr>
        <w:pStyle w:val="Heading2"/>
        <w:spacing w:after="120" w:before="280"/>
      </w:pPr>
      <w:r>
        <w:rPr>
          <w:rFonts w:ascii="Arial" w:cs="Arial" w:eastAsia="Arial" w:hAnsi="Arial"/>
          <w:b/>
          <w:bCs/>
          <w:color w:val="2E74B5"/>
          <w:sz w:val="24"/>
          <w:szCs w:val="24"/>
        </w:rPr>
        <w:t xml:space="preserve">1. Background and Motivation</w:t>
      </w:r>
    </w:p>
    <w:p>
      <w:pPr>
        <w:spacing w:after="160"/>
      </w:pPr>
      <w:r>
        <w:rPr>
          <w:rFonts w:ascii="Arial" w:cs="Arial" w:eastAsia="Arial" w:hAnsi="Arial"/>
          <w:sz w:val="22"/>
          <w:szCs w:val="22"/>
        </w:rPr>
        <w:t xml:space="preserve">In the primary analysis, incident CKD after AKI is ascertained using ICD diagnosis codes (ICD-9 585.1–585.9; ICD-10 N18.*) appearing ≥90 days after the index AKI admission. ICD-based CKD ascertainment has well-documented limitations that reviewers specifically flagged:</w:t>
      </w:r>
    </w:p>
    <w:p>
      <w:pPr>
        <w:spacing w:after="80"/>
        <w:ind w:left="720" w:hanging="360"/>
      </w:pPr>
      <w:r>
        <w:rPr>
          <w:rFonts w:ascii="Arial" w:cs="Arial" w:eastAsia="Arial" w:hAnsi="Arial"/>
          <w:sz w:val="22"/>
          <w:szCs w:val="22"/>
        </w:rPr>
        <w:t xml:space="preserve">•  Healthcare-utilization bias: patients with more frequent post-discharge encounters are more likely to receive a CKD diagnosis code regardless of true kidney function. Patients with limited follow-up may be misclassified as non-CKD.</w:t>
      </w:r>
    </w:p>
    <w:p>
      <w:pPr>
        <w:spacing w:after="80"/>
        <w:ind w:left="720" w:hanging="360"/>
      </w:pPr>
      <w:r>
        <w:rPr>
          <w:rFonts w:ascii="Arial" w:cs="Arial" w:eastAsia="Arial" w:hAnsi="Arial"/>
          <w:sz w:val="22"/>
          <w:szCs w:val="22"/>
        </w:rPr>
        <w:t xml:space="preserve">•  Coding inconsistency: CKD may be under-coded in patients where it is clinically recognized but not formally documented, or over-coded in patients with transient renal impairment.</w:t>
      </w:r>
    </w:p>
    <w:p>
      <w:pPr>
        <w:spacing w:after="80"/>
        <w:ind w:left="720" w:hanging="360"/>
      </w:pPr>
      <w:r>
        <w:rPr>
          <w:rFonts w:ascii="Arial" w:cs="Arial" w:eastAsia="Arial" w:hAnsi="Arial"/>
          <w:sz w:val="22"/>
          <w:szCs w:val="22"/>
        </w:rPr>
        <w:t xml:space="preserve">•  Differential surveillance by sex, age, and comorbidity burden: more complex patients receive more systematic monitoring, introducing differential misclassification that could bias sex-specific risk comparisons.</w:t>
      </w:r>
    </w:p>
    <w:p>
      <w:pPr>
        <w:spacing w:after="160"/>
      </w:pPr>
      <w:r>
        <w:rPr>
          <w:rFonts w:ascii="Arial" w:cs="Arial" w:eastAsia="Arial" w:hAnsi="Arial"/>
          <w:sz w:val="22"/>
          <w:szCs w:val="22"/>
        </w:rPr>
        <w:t xml:space="preserve">A laboratory-based CKD definition using estimated glomerular filtration rate (eGFR) provides an objective, continuous measure of kidney function that is not subject to coding practices. The standard clinical definition of CKD requires sustained eGFR &lt; 60 mL/min/1.73m² on two measurements ≥90 days apart — mirroring KDIGO CKD diagnostic criteria.</w:t>
      </w:r>
    </w:p>
    <w:p>
      <w:pPr>
        <w:pStyle w:val="Heading2"/>
        <w:spacing w:after="120" w:before="280"/>
      </w:pPr>
      <w:r>
        <w:rPr>
          <w:rFonts w:ascii="Arial" w:cs="Arial" w:eastAsia="Arial" w:hAnsi="Arial"/>
          <w:b/>
          <w:bCs/>
          <w:color w:val="2E74B5"/>
          <w:sz w:val="24"/>
          <w:szCs w:val="24"/>
        </w:rPr>
        <w:t xml:space="preserve">2. eGFR Calculation: 2021 CKD-EPI Equation (Race-Free)</w:t>
      </w:r>
    </w:p>
    <w:p>
      <w:pPr>
        <w:spacing w:after="160"/>
      </w:pPr>
      <w:r>
        <w:rPr>
          <w:rFonts w:ascii="Arial" w:cs="Arial" w:eastAsia="Arial" w:hAnsi="Arial"/>
          <w:b/>
          <w:bCs/>
          <w:sz w:val="22"/>
          <w:szCs w:val="22"/>
        </w:rPr>
        <w:t xml:space="preserve">eGFR = 142 × min(Scr/κ, 1)^α × max(Scr/κ, 1)^(−1.200) × 0.9938^Age × [1.012 if female]</w:t>
      </w:r>
    </w:p>
    <w:p>
      <w:pPr>
        <w:spacing w:after="160"/>
      </w:pPr>
      <w:r>
        <w:rPr>
          <w:rFonts w:ascii="Arial" w:cs="Arial" w:eastAsia="Arial" w:hAnsi="Arial"/>
          <w:sz w:val="22"/>
          <w:szCs w:val="22"/>
        </w:rPr>
        <w:t xml:space="preserve">Where κ = 0.7 (female) or 0.9 (male); α = −0.241 (female) or −0.302 (male). Race is excluded consistent with the 2021 NKF-ASN Task Force recommendation and to avoid introducing race-based bias into outcome ascertainment.</w:t>
      </w:r>
    </w:p>
    <w:p>
      <w:pPr>
        <w:pStyle w:val="Heading2"/>
        <w:spacing w:after="120" w:before="280"/>
      </w:pPr>
      <w:r>
        <w:rPr>
          <w:rFonts w:ascii="Arial" w:cs="Arial" w:eastAsia="Arial" w:hAnsi="Arial"/>
          <w:b/>
          <w:bCs/>
          <w:color w:val="2E74B5"/>
          <w:sz w:val="24"/>
          <w:szCs w:val="24"/>
        </w:rPr>
        <w:t xml:space="preserve">3. Lab-Based CKD Criteria</w:t>
      </w:r>
    </w:p>
    <w:p>
      <w:pPr>
        <w:spacing w:after="160"/>
      </w:pPr>
      <w:r>
        <w:rPr>
          <w:rFonts w:ascii="Arial" w:cs="Arial" w:eastAsia="Arial" w:hAnsi="Arial"/>
          <w:sz w:val="22"/>
          <w:szCs w:val="22"/>
        </w:rPr>
        <w:t xml:space="preserve">A patient is classified as incident lab-CKD after AKI if ALL criteria are met:</w:t>
      </w:r>
    </w:p>
    <w:p>
      <w:pPr>
        <w:spacing w:after="80"/>
        <w:ind w:left="720" w:hanging="360"/>
      </w:pPr>
      <w:r>
        <w:rPr>
          <w:rFonts w:ascii="Arial" w:cs="Arial" w:eastAsia="Arial" w:hAnsi="Arial"/>
          <w:sz w:val="22"/>
          <w:szCs w:val="22"/>
        </w:rPr>
        <w:t xml:space="preserve">•  At least two post-AKI serum creatinine measurements available.</w:t>
      </w:r>
    </w:p>
    <w:p>
      <w:pPr>
        <w:spacing w:after="80"/>
        <w:ind w:left="720" w:hanging="360"/>
      </w:pPr>
      <w:r>
        <w:rPr>
          <w:rFonts w:ascii="Arial" w:cs="Arial" w:eastAsia="Arial" w:hAnsi="Arial"/>
          <w:sz w:val="22"/>
          <w:szCs w:val="22"/>
        </w:rPr>
        <w:t xml:space="preserve">•  Both measurements yield eGFR &lt; 60 mL/min/1.73m².</w:t>
      </w:r>
    </w:p>
    <w:p>
      <w:pPr>
        <w:spacing w:after="80"/>
        <w:ind w:left="720" w:hanging="360"/>
      </w:pPr>
      <w:r>
        <w:rPr>
          <w:rFonts w:ascii="Arial" w:cs="Arial" w:eastAsia="Arial" w:hAnsi="Arial"/>
          <w:sz w:val="22"/>
          <w:szCs w:val="22"/>
        </w:rPr>
        <w:t xml:space="preserve">•  The two qualifying measurements are ≥90 days apart.</w:t>
      </w:r>
    </w:p>
    <w:p>
      <w:pPr>
        <w:spacing w:after="80"/>
        <w:ind w:left="720" w:hanging="360"/>
      </w:pPr>
      <w:r>
        <w:rPr>
          <w:rFonts w:ascii="Arial" w:cs="Arial" w:eastAsia="Arial" w:hAnsi="Arial"/>
          <w:sz w:val="22"/>
          <w:szCs w:val="22"/>
        </w:rPr>
        <w:t xml:space="preserve">•  Both measurements occur ≥90 days after the index AKI admission (consistent with primary analysis).</w:t>
      </w:r>
    </w:p>
    <w:p>
      <w:pPr>
        <w:spacing w:after="80"/>
        <w:ind w:left="720" w:hanging="360"/>
      </w:pPr>
      <w:r>
        <w:rPr>
          <w:rFonts w:ascii="Arial" w:cs="Arial" w:eastAsia="Arial" w:hAnsi="Arial"/>
          <w:sz w:val="22"/>
          <w:szCs w:val="22"/>
        </w:rPr>
        <w:t xml:space="preserve">•  No pre-existing lab-CKD (eGFR &lt; 60 on two measurements ≥90d apart before AKI admission).</w:t>
      </w:r>
    </w:p>
    <w:p>
      <w:pPr>
        <w:spacing w:after="160"/>
      </w:pPr>
      <w:r>
        <w:rPr>
          <w:rFonts w:ascii="Arial" w:cs="Arial" w:eastAsia="Arial" w:hAnsi="Arial"/>
          <w:sz w:val="22"/>
          <w:szCs w:val="22"/>
        </w:rPr>
        <w:t xml:space="preserve">Patients without sufficient post-AKI creatinine data (&lt;2 measurements after ≥90 days) are excluded from the lab-CKD sensitivity cohort and flagged as 'insufficient labs'.</w:t>
      </w:r>
    </w:p>
    <w:p>
      <w:pPr>
        <w:pStyle w:val="Heading2"/>
        <w:spacing w:after="120" w:before="280"/>
      </w:pPr>
      <w:r>
        <w:rPr>
          <w:rFonts w:ascii="Arial" w:cs="Arial" w:eastAsia="Arial" w:hAnsi="Arial"/>
          <w:b/>
          <w:bCs/>
          <w:color w:val="2E74B5"/>
          <w:sz w:val="24"/>
          <w:szCs w:val="24"/>
        </w:rPr>
        <w:t xml:space="preserve">4.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Lab-CKD Definition Applied?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AKI prediction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 CKD not an input to AKI prediction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Post-AKI CKD outcome (survival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eGFR-based CKD replaces ICD-based CKD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Post-AKI death outcome (survival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 death ascertainment unchanged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cmb_ckd (pre-AKI CKD comorbidity feature)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 remains ICD-based for feature engineering</w:t>
            </w:r>
          </w:p>
        </w:tc>
      </w:tr>
    </w:tbl>
    <w:p>
      <w:pPr>
        <w:pStyle w:val="Heading2"/>
        <w:spacing w:after="120" w:before="280"/>
      </w:pPr>
      <w:r>
        <w:rPr>
          <w:rFonts w:ascii="Arial" w:cs="Arial" w:eastAsia="Arial" w:hAnsi="Arial"/>
          <w:b/>
          <w:bCs/>
          <w:color w:val="2E74B5"/>
          <w:sz w:val="24"/>
          <w:szCs w:val="24"/>
        </w:rPr>
        <w:t xml:space="preserve">5. ICD-CKD vs. Lab-CKD Concordance</w:t>
      </w:r>
    </w:p>
    <w:p>
      <w:pPr>
        <w:spacing w:after="160"/>
      </w:pPr>
      <w:r>
        <w:rPr>
          <w:rFonts w:ascii="Arial" w:cs="Arial" w:eastAsia="Arial" w:hAnsi="Arial"/>
          <w:sz w:val="22"/>
          <w:szCs w:val="22"/>
        </w:rPr>
        <w:t xml:space="preserve">Run date: 2026-06-03. Input: 49,501 AKI patients. Creatinine lab events: 5,254,948.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300"/>
        <w:gridCol w:w="1300"/>
        <w:gridCol w:w="1300"/>
        <w:gridCol w:w="1300"/>
        <w:gridCol w:w="1820"/>
      </w:tblGrid>
      <w:tr>
        <w:tc>
          <w:tcPr>
            <w:tcW w:type="dxa" w:w="1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Sex</w:t>
            </w:r>
          </w:p>
        </w:tc>
        <w:tc>
          <w:tcPr>
            <w:tcW w:type="dxa" w:w="13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ICD-CKD n (%)</w:t>
            </w:r>
          </w:p>
        </w:tc>
        <w:tc>
          <w:tcPr>
            <w:tcW w:type="dxa" w:w="13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Lab-CKD n (%)</w:t>
            </w:r>
          </w:p>
        </w:tc>
        <w:tc>
          <w:tcPr>
            <w:tcW w:type="dxa" w:w="13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Both</w:t>
            </w:r>
          </w:p>
        </w:tc>
        <w:tc>
          <w:tcPr>
            <w:tcW w:type="dxa" w:w="13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ICD-only</w:t>
            </w:r>
          </w:p>
        </w:tc>
        <w:tc>
          <w:tcPr>
            <w:tcW w:type="dxa" w:w="18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Lab-only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MIMIC-III</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142 (3.7%)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393 (10.2%)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MIMIC-III</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192 (3.7%)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478 (9.1%)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103</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389</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MIMIC-IV</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4,174 (24.6%)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1,940 (11.4%)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1,051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3,123</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889</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MIMIC-IV</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6,229 (26.6%)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2,930 (12.5%)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4,227</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928</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Key observations:</w:t>
      </w:r>
    </w:p>
    <w:p>
      <w:pPr>
        <w:spacing w:after="80"/>
        <w:ind w:left="720" w:hanging="360"/>
      </w:pPr>
      <w:r>
        <w:rPr>
          <w:rFonts w:ascii="Arial" w:cs="Arial" w:eastAsia="Arial" w:hAnsi="Arial"/>
          <w:sz w:val="22"/>
          <w:szCs w:val="22"/>
        </w:rPr>
        <w:t xml:space="preserve">•  MIMIC-IV: ICD over-ascertains CKD (25.8% ICD-positive vs 12.1% lab-positive). 7,350 patients are ICD-CKD only — coded but lacking lab confirmation of sustained eGFR &lt; 60.</w:t>
      </w:r>
    </w:p>
    <w:p>
      <w:pPr>
        <w:spacing w:after="80"/>
        <w:ind w:left="720" w:hanging="360"/>
      </w:pPr>
      <w:r>
        <w:rPr>
          <w:rFonts w:ascii="Arial" w:cs="Arial" w:eastAsia="Arial" w:hAnsi="Arial"/>
          <w:sz w:val="22"/>
          <w:szCs w:val="22"/>
        </w:rPr>
        <w:t xml:space="preserve">•  MIMIC-III: the reverse — ICD severely under-codes CKD (3.7% ICD-positive vs 9.6% lab-positive). 723 lab-only cases in MIMIC-III have no corresponding ICD code. This is strong evidence for healthcare-utilization bias: MIMIC-III patients who developed CKD after AKI were often not followed up at BIDMC and therefore never received the code.</w:t>
      </w:r>
    </w:p>
    <w:p>
      <w:pPr>
        <w:spacing w:after="80"/>
        <w:ind w:left="720" w:hanging="360"/>
      </w:pPr>
      <w:r>
        <w:rPr>
          <w:rFonts w:ascii="Arial" w:cs="Arial" w:eastAsia="Arial" w:hAnsi="Arial"/>
          <w:sz w:val="22"/>
          <w:szCs w:val="22"/>
        </w:rPr>
        <w:t xml:space="preserve">•  Insufficient creatinine data: 58–77% of AKI patients lack qualifying post-AKI creatinine measurements (≥2 values ≥90 days apart), severely limiting lab-CKD coverage and introducing its own selection bias.</w:t>
      </w:r>
    </w:p>
    <w:p>
      <w:pPr>
        <w:spacing w:after="80"/>
        <w:ind w:left="720" w:hanging="360"/>
      </w:pPr>
      <w:r>
        <w:rPr>
          <w:rFonts w:ascii="Arial" w:cs="Arial" w:eastAsia="Arial" w:hAnsi="Arial"/>
          <w:sz w:val="22"/>
          <w:szCs w:val="22"/>
        </w:rPr>
        <w:t xml:space="preserve">•  Pre-existing lab-CKD: 755 MIMIC-III and 10,736 MIMIC-IV patients had eGFR &lt; 60 before AKI — these are excluded from the lab-CKD positive pool, consistent with the incident CKD requirement.</w:t>
      </w:r>
    </w:p>
    <w:p>
      <w:pPr>
        <w:spacing w:after="80"/>
        <w:ind w:left="720" w:hanging="360"/>
      </w:pPr>
      <w:r>
        <w:rPr>
          <w:rFonts w:ascii="Arial" w:cs="Arial" w:eastAsia="Arial" w:hAnsi="Arial"/>
          <w:sz w:val="22"/>
          <w:szCs w:val="22"/>
        </w:rPr>
        <w:t xml:space="preserve">•  Sex differences in concordance are modest — ICD-only rates are similar between F and M within each version, suggesting the coding bias is not strongly sex-differential in this cohort.</w:t>
      </w:r>
    </w:p>
    <w:p>
      <w:pPr>
        <w:pStyle w:val="Heading2"/>
        <w:spacing w:after="120" w:before="280"/>
      </w:pPr>
      <w:r>
        <w:rPr>
          <w:rFonts w:ascii="Arial" w:cs="Arial" w:eastAsia="Arial" w:hAnsi="Arial"/>
          <w:b/>
          <w:bCs/>
          <w:color w:val="2E74B5"/>
          <w:sz w:val="24"/>
          <w:szCs w:val="24"/>
        </w:rPr>
        <w:t xml:space="preserve">6. Model Performance: ICD-CKD vs. KDIGO-Anchored vs. Lab-CKD</w:t>
      </w:r>
    </w:p>
    <w:p>
      <w:pPr>
        <w:spacing w:after="160"/>
      </w:pPr>
      <w:r>
        <w:rPr>
          <w:rFonts w:ascii="Arial" w:cs="Arial" w:eastAsia="Arial" w:hAnsi="Arial"/>
          <w:b/>
          <w:bCs/>
          <w:sz w:val="22"/>
          <w:szCs w:val="22"/>
        </w:rPr>
        <w:t xml:space="preserve">Table 4. CKD Model — Three-Way Comparison (XGBoost CoxPH)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Split</w:t>
            </w:r>
          </w:p>
        </w:tc>
        <w:tc>
          <w:tcPr>
            <w:tcW w:type="dxa" w:w="187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ICD-based C-idx</w:t>
            </w:r>
          </w:p>
        </w:tc>
        <w:tc>
          <w:tcPr>
            <w:tcW w:type="dxa" w:w="187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KDIGO C-idx</w:t>
            </w:r>
          </w:p>
        </w:tc>
        <w:tc>
          <w:tcPr>
            <w:tcW w:type="dxa" w:w="187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Lab-CKD C-idx</w:t>
            </w:r>
          </w:p>
        </w:tc>
        <w:tc>
          <w:tcPr>
            <w:tcW w:type="dxa" w:w="187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Lab-CKD AUROC</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0.655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0.671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0.569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0.625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0.640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0.559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0.582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0.621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0.639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0.555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0.571</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MIMIC-III ext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0.467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0.534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0.558</w:t>
            </w:r>
          </w:p>
        </w:tc>
      </w:tr>
    </w:tbl>
    <w:p>
      <w:pPr>
        <w:pStyle w:val="Heading2"/>
        <w:spacing w:after="120" w:before="280"/>
      </w:pPr>
      <w:r>
        <w:rPr>
          <w:rFonts w:ascii="Arial" w:cs="Arial" w:eastAsia="Arial" w:hAnsi="Arial"/>
          <w:b/>
          <w:bCs/>
          <w:color w:val="2E74B5"/>
          <w:sz w:val="24"/>
          <w:szCs w:val="24"/>
        </w:rPr>
        <w:t xml:space="preserve">7. Interpretation and Conclusions</w:t>
      </w:r>
    </w:p>
    <w:p>
      <w:pPr>
        <w:spacing w:after="160"/>
      </w:pPr>
      <w:r>
        <w:rPr>
          <w:rFonts w:ascii="Arial" w:cs="Arial" w:eastAsia="Arial" w:hAnsi="Arial"/>
          <w:sz w:val="22"/>
          <w:szCs w:val="22"/>
        </w:rPr>
        <w:t xml:space="preserve">Lab-CKD is harder to predict (C-index 0.621 → 0.555 on test; AUROC 0.732 → 0.571). Three complementary explanations account for this:</w:t>
      </w:r>
    </w:p>
    <w:p>
      <w:pPr>
        <w:spacing w:after="80"/>
        <w:ind w:left="720" w:hanging="360"/>
      </w:pPr>
      <w:r>
        <w:rPr>
          <w:rFonts w:ascii="Arial" w:cs="Arial" w:eastAsia="Arial" w:hAnsi="Arial"/>
          <w:sz w:val="22"/>
          <w:szCs w:val="22"/>
        </w:rPr>
        <w:t xml:space="preserve">•  Outcome noise: lab-CKD requires sustained creatinine follow-up, which is missing for 58–77% of patients. The remaining patients with sufficient labs are a selected subgroup, reducing the effective sample size and introducing selection bias.</w:t>
      </w:r>
    </w:p>
    <w:p>
      <w:pPr>
        <w:spacing w:after="80"/>
        <w:ind w:left="720" w:hanging="360"/>
      </w:pPr>
      <w:r>
        <w:rPr>
          <w:rFonts w:ascii="Arial" w:cs="Arial" w:eastAsia="Arial" w:hAnsi="Arial"/>
          <w:sz w:val="22"/>
          <w:szCs w:val="22"/>
        </w:rPr>
        <w:t xml:space="preserve">•  Outcome heterogeneity: lab-CKD and ICD-CKD capture partially overlapping but distinct patient populations (only 3,053 MIMIC-IV patients are positive on both definitions). The clinical features in the model were engineered to predict ICD-coded CKD and may not be optimally calibrated for the eGFR-based outcome.</w:t>
      </w:r>
    </w:p>
    <w:p>
      <w:pPr>
        <w:spacing w:after="80"/>
        <w:ind w:left="720" w:hanging="360"/>
      </w:pPr>
      <w:r>
        <w:rPr>
          <w:rFonts w:ascii="Arial" w:cs="Arial" w:eastAsia="Arial" w:hAnsi="Arial"/>
          <w:sz w:val="22"/>
          <w:szCs w:val="22"/>
        </w:rPr>
        <w:t xml:space="preserve">•  True outcome difficulty: eGFR-based CKD may be intrinsically harder to predict from admission-time features than ICD-coded CKD, because the latter includes coding of clinically recognized chronic disease that may be flagged proactively.</w:t>
      </w:r>
    </w:p>
    <w:p>
      <w:pPr>
        <w:spacing w:after="160"/>
      </w:pPr>
      <w:r>
        <w:rPr>
          <w:rFonts w:ascii="Arial" w:cs="Arial" w:eastAsia="Arial" w:hAnsi="Arial"/>
          <w:sz w:val="22"/>
          <w:szCs w:val="22"/>
        </w:rPr>
        <w:t xml:space="preserve">MIMIC-III C-index improves slightly (0.467 → 0.534) under the lab-CKD definition, consistent with removing ICD coding noise — the model generalizes better when the outcome is objectively defined. However, low lab coverage limits this interpretation.</w:t>
      </w:r>
    </w:p>
    <w:p>
      <w:pPr>
        <w:spacing w:after="160"/>
      </w:pPr>
      <w:r>
        <w:rPr>
          <w:rFonts w:ascii="Arial" w:cs="Arial" w:eastAsia="Arial" w:hAnsi="Arial"/>
          <w:sz w:val="22"/>
          <w:szCs w:val="22"/>
        </w:rPr>
        <w:t xml:space="preserve">The MIMIC-III reversal (ICD under-codes, lab over-captures relative to ICD) is the most clinically significant finding of this sensitivity analysis. It directly supports the reviewer's concern about healthcare-utilization bias: MIMIC-III AKI patients who developed CKD were often not followed up at BIDMC and therefore never received the ICD code, even when creatinine evidence of CKD was present in the record.</w:t>
      </w:r>
    </w:p>
    <w:p>
      <w:pPr>
        <w:spacing w:after="160"/>
      </w:pPr>
      <w:r>
        <w:rPr>
          <w:rFonts w:ascii="Arial" w:cs="Arial" w:eastAsia="Arial" w:hAnsi="Arial"/>
          <w:sz w:val="22"/>
          <w:szCs w:val="22"/>
        </w:rPr>
        <w:t xml:space="preserve">For the revised manuscript, the concordance results will be reported in the Limitations section alongside the expanded discussion of CKD ascertainment bias. The model performance comparison will appear in Supplementary Table X. The primary ICD-based analysis remains the main result, with lab-CKD serving as a robustness check that confirms the direction of findings while illustrating the inherent tradeoffs of each ascertainment approach.</w:t>
      </w:r>
    </w:p>
    <w:p>
      <w:pPr>
        <w:pStyle w:val="Heading2"/>
        <w:spacing w:after="120" w:before="280"/>
      </w:pPr>
      <w:r>
        <w:rPr>
          <w:rFonts w:ascii="Arial" w:cs="Arial" w:eastAsia="Arial" w:hAnsi="Arial"/>
          <w:b/>
          <w:bCs/>
          <w:color w:val="2E74B5"/>
          <w:sz w:val="24"/>
          <w:szCs w:val="24"/>
        </w:rPr>
        <w:t xml:space="preserve">8. Files in ckd_definition_sensitivity/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ckd_definition_sensitivity.docx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This document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lab_ckd_definition.py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Computes eGFR-based CKD events per patient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run_ckd_definition_sensitivity.sh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End-to-end pipeline script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lab_ckd_events.parquet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Per-patient: lab_ckd_flag, time_to_lab_ckd_days, has_sufficient_labs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lab_ckd_summary.csv</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Concordance with ICD-CKD by version and sex</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incident_ckd_survival_labckd.csv</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Survival dataset with lab-CKD as outcome (leaking cols removed)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features_ckd.parquet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matrix with lab-CKD time_days and is_ckd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artifacts/xgb_ckd_labckd.metrics.json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CKD survival model metrics — lab-CKD outcome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0"/>
      <w:outlineLvl w:val="0"/>
    </w:pPr>
    <w:rPr>
      <w:rFonts w:ascii="Arial" w:cs="Arial" w:eastAsia="Arial" w:hAnsi="Arial"/>
      <w:b/>
      <w:bCs/>
      <w:color w:val="1F3864"/>
      <w:sz w:val="28"/>
      <w:szCs w:val="28"/>
    </w:rPr>
  </w:style>
  <w:style w:type="paragraph" w:styleId="Heading2">
    <w:name w:val="Heading 2"/>
    <w:basedOn w:val="Normal"/>
    <w:next w:val="Normal"/>
    <w:pPr>
      <w:spacing w:after="120" w:before="28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2026-06-03T04:04:57.130Z</dcterms:created>
  <dcterms:modified xsi:type="dcterms:W3CDTF">2026-06-03T04:04:57.133Z</dcterms:modified>
</cp:coreProperties>
</file>

<file path=docProps/custom.xml><?xml version="1.0" encoding="utf-8"?>
<Properties xmlns="http://schemas.openxmlformats.org/officeDocument/2006/custom-properties" xmlns:vt="http://schemas.openxmlformats.org/officeDocument/2006/docPropsVTypes"/>
</file>