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Sensitivity Analysis: Exclusion of Automobile/Transport Accident Admissions</w:t>
      </w:r>
    </w:p>
    <w:p>
      <w:pPr>
        <w:spacing w:after="160"/>
      </w:pPr>
      <w:r>
        <w:t xml:space="preserve">To assess whether our findings were driven by transport-related injury admissions, which represent a clinically distinct AKI phenotype characterized by traumatic rather than medical etiology, we repeated all AKI prediction analyses after excluding automobile and transport accident encounters (ICD-9 E810–E829; ICD-10 V00–V89).</w:t>
      </w:r>
    </w:p>
    <w:p>
      <w:pPr>
        <w:spacing w:after="160"/>
      </w:pPr>
      <w:r>
        <w:t xml:space="preserve">Model performance in MIMIC-IV was virtually unchanged across all methods (Table 1). AUC-ROC differences between the primary and sensitivity analyses were ≤0.003 for every model, with XGBoost remaining the top performer (0.916 vs. 0.917 in the primary analysis). This consistency indicates that prediction performance in the training and test cohort is not materially influenced by the inclusion of transport-related admissions.</w:t>
      </w:r>
    </w:p>
    <w:p>
      <w:pPr>
        <w:spacing w:after="160"/>
      </w:pPr>
      <w:r>
        <w:t xml:space="preserve">In external validation on MIMIC-III, AUC-ROC was modestly lower in the sensitivity analysis across most models (e.g., XGBoost: 0.784 vs. 0.807; Random Forest: 0.761 vs. 0.788). This attenuation likely reflects the composition of the MIMIC-III cohort rather than model degradation: MIMIC-III is restricted to ICU admissions, and transport-related cases — which tend to be younger with a distinct, recognizable laboratory profile — contribute positively to external discrimination when included. Their removal reduces the proportion of clinically distinct, easily classified cases in the external test set, modestly lowering overall AUC without reflecting a meaningful change in model validity.</w:t>
      </w:r>
    </w:p>
    <w:p>
      <w:pPr>
        <w:spacing w:after="320"/>
      </w:pPr>
      <w:r>
        <w:t xml:space="preserve">Taken together, these results confirm that the primary findings are robust to the exclusion of transport-related admissions. The near-identical MIMIC-IV performance across conditions provides reassurance that the main AKI prediction models and sex-interaction findings are not confounded by the inclusion of this patient subgroup.</w:t>
      </w:r>
    </w:p>
    <w:p>
      <w:pPr>
        <w:spacing w:after="120"/>
      </w:pPr>
      <w:r>
        <w:rPr>
          <w:rFonts w:ascii="Arial" w:cs="Arial" w:eastAsia="Arial" w:hAnsi="Arial"/>
          <w:b/>
          <w:bCs/>
          <w:sz w:val="22"/>
          <w:szCs w:val="22"/>
        </w:rPr>
        <w:t xml:space="preserve">Table 1. AUC-ROC for Primary (Keep Autocar) vs. Sensitivity (No Autocar)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17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MIMIC-IV Primary</w:t>
            </w:r>
          </w:p>
        </w:tc>
        <w:tc>
          <w:tcPr>
            <w:tcW w:type="dxa" w:w="17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MIMIC-IV Sensitivity</w:t>
            </w:r>
          </w:p>
        </w:tc>
        <w:tc>
          <w:tcPr>
            <w:tcW w:type="dxa" w:w="17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MIMIC-III Primary</w:t>
            </w:r>
          </w:p>
        </w:tc>
        <w:tc>
          <w:tcPr>
            <w:tcW w:type="dxa" w:w="17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sz w:val="20"/>
                <w:szCs w:val="20"/>
              </w:rPr>
              <w:t xml:space="preserve">MIMIC-III Sensitivity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Logistic Regression</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0.870</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0.873</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0.771</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0.735</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Random Forest</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0.886</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0.883</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0.788</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0.761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DNN</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0.904</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0.903</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0.710</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0.704</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Self-Attention</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0.907</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0.908</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0.733</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DCN</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0.902</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0.902</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0.694</w:t>
            </w:r>
          </w:p>
        </w:tc>
        <w:tc>
          <w:tcPr>
            <w:tcW w:type="dxa" w:w="17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0.698</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XGBoost</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0.917</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0.916</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0.807</w:t>
            </w:r>
          </w:p>
        </w:tc>
        <w:tc>
          <w:tcPr>
            <w:tcW w:type="dxa" w:w="179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0.784</w:t>
            </w:r>
          </w:p>
        </w:tc>
      </w:tr>
    </w:tbl>
    <w:p>
      <w:pPr>
        <w:spacing w:before="120"/>
      </w:pPr>
      <w:r>
        <w:rPr>
          <w:rFonts w:ascii="Arial" w:cs="Arial" w:eastAsia="Arial" w:hAnsi="Arial"/>
          <w:i/>
          <w:iCs/>
          <w:color w:val="555555"/>
          <w:sz w:val="18"/>
          <w:szCs w:val="18"/>
        </w:rPr>
        <w:t xml:space="preserve">Primary = keep autocar (main analysis); Sensitivity = exclude automobile/transport accident admissions (ICD-9 E810–E829; ICD-10 V00–V89). AUC-ROC = area under the receiver operating characteristic curve.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2026-05-31T12:41:43.747Z</dcterms:created>
  <dcterms:modified xsi:type="dcterms:W3CDTF">2026-05-31T12:41:43.748Z</dcterms:modified>
</cp:coreProperties>
</file>

<file path=docProps/custom.xml><?xml version="1.0" encoding="utf-8"?>
<Properties xmlns="http://schemas.openxmlformats.org/officeDocument/2006/custom-properties" xmlns:vt="http://schemas.openxmlformats.org/officeDocument/2006/docPropsVTypes"/>
</file>