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hAnsi="Arial" w:cs="Arial"/>
          <w:b/>
          <w:color w:val="1F3864"/>
          <w:sz w:val="32"/>
          <w:szCs w:val="32"/>
        </w:rPr>
        <w:t>TRIPOD+AI Reporting Checklist</w:t>
      </w:r>
    </w:p>
    <w:p>
      <w:pPr>
        <w:spacing w:after="80"/>
      </w:pPr>
      <w:r>
        <w:rPr>
          <w:rFonts w:ascii="Arial" w:hAnsi="Arial" w:cs="Arial"/>
          <w:b/>
          <w:sz w:val="22"/>
          <w:szCs w:val="22"/>
        </w:rPr>
        <w:t xml:space="preserve">Paper: </w:t>
      </w:r>
      <w:r>
        <w:rPr>
          <w:rFonts w:ascii="Arial" w:hAnsi="Arial" w:cs="Arial"/>
          <w:sz w:val="22"/>
          <w:szCs w:val="22"/>
        </w:rPr>
        <w:t>Sex Differences in Acute Kidney Injury Risk and Outcomes: Insights from MIMIC-III and MIMIC-IV</w:t>
      </w:r>
    </w:p>
    <w:p>
      <w:pPr>
        <w:spacing w:after="80"/>
      </w:pPr>
      <w:r>
        <w:rPr>
          <w:rFonts w:ascii="Arial" w:hAnsi="Arial" w:cs="Arial"/>
          <w:b/>
          <w:sz w:val="22"/>
          <w:szCs w:val="22"/>
        </w:rPr>
        <w:t xml:space="preserve">Journal: </w:t>
      </w:r>
      <w:r>
        <w:rPr>
          <w:rFonts w:ascii="Arial" w:hAnsi="Arial" w:cs="Arial"/>
          <w:sz w:val="22"/>
          <w:szCs w:val="22"/>
        </w:rPr>
        <w:t>Intelligence-Based Medicine (under revision)</w:t>
      </w:r>
    </w:p>
    <w:p>
      <w:pPr>
        <w:spacing w:after="80"/>
      </w:pPr>
      <w:r>
        <w:rPr>
          <w:rFonts w:ascii="Arial" w:hAnsi="Arial" w:cs="Arial"/>
          <w:b/>
          <w:sz w:val="22"/>
          <w:szCs w:val="22"/>
        </w:rPr>
        <w:t xml:space="preserve">Model type: </w:t>
      </w:r>
      <w:r>
        <w:rPr>
          <w:rFonts w:ascii="Arial" w:hAnsi="Arial" w:cs="Arial"/>
          <w:sz w:val="22"/>
          <w:szCs w:val="22"/>
        </w:rPr>
        <w:t>Prediction model development and external validation</w:t>
      </w:r>
    </w:p>
    <w:p>
      <w:pPr>
        <w:spacing w:after="300"/>
      </w:pPr>
      <w:r>
        <w:rPr>
          <w:rFonts w:ascii="Arial" w:hAnsi="Arial" w:cs="Arial"/>
          <w:i/>
          <w:color w:val="555555"/>
          <w:sz w:val="20"/>
          <w:szCs w:val="20"/>
        </w:rPr>
        <w:t>Completed per TRIPOD+AI 2024 guidelines (Collins et al., BMJ 2024). ✓ = reported/addressed; ~ = partially addressed; N/A = not applicable.</w:t>
      </w:r>
    </w:p>
    <w:tbl>
      <w:tblPr>
        <w:tblStyle w:val="TableGrid"/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0"/>
        <w:gridCol w:w="3200"/>
        <w:gridCol w:w="480"/>
        <w:gridCol w:w="5200"/>
      </w:tblGrid>
      <w:tr>
        <w:trPr>
          <w:tblHeader/>
        </w:trPr>
        <w:tc>
          <w:tcPr>
            <w:tcW w:w="480" w:type="dxa"/>
            <w:shd w:val="clear" w:fill="1F3864"/>
          </w:tcPr>
          <w:p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200" w:type="dxa"/>
            <w:shd w:val="clear" w:fill="1F3864"/>
          </w:tcPr>
          <w:p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480" w:type="dxa"/>
            <w:shd w:val="clear" w:fill="1F3864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200" w:type="dxa"/>
            <w:shd w:val="clear" w:fill="1F3864"/>
          </w:tcPr>
          <w:p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Where reported / Notes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TITLE AND ABSTRACT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Title identifies the study as developing and/or validating a prediction model, and specifies the predicted outcome and population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 xml:space="preserve">Title specifies AKI risk prediction and outcomes, MIMIC-III/IV population, and sex differences focus. Development on MIMIC-IV + external validation on MIMIC-III.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Abstract summarises objectives, study design, setting, participants, sample size, predictors, outcome, statistical analysis, results, and conclusions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Abstract covers all required elements: MIMIC-III/IV setting, adult ICU admissions, sample sizes, predictors (labs, vitals, comorbidities, demographics), AKI outcome, ML methods, AUC results, and sex-interaction conclusions.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INTRODUCTION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3a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Explains the medical context and the clinical need for the prediction model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Introduction details AKI burden (20–50% ICU incidence), mortality risk, sex disparities in diagnosis and treatment, and the gap in sex-stratified predictive modeling. Section 1.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3b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Specifies the study objectives, including whether the study describes the development and/or validation of the model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Objectives explicitly state: (1) develop AKI prediction models on MIMIC-IV; (2) validate externally on MIMIC-III; (3) examine sex as effect modifier. Section 1.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METHODS — Source of Data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4a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Describes the study design and setting, including data source(s), healthcare setting, country, and dates of data collection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MIMIC-IV (BIDMC, Boston, USA, 2008–2019) for development; MIMIC-III (BIDMC, 2001–2012) for external validation. Both are publicly available de-identified EHR databases. Retrospective cohort design. Section 2.1.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4b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Describes any data linkage across datasets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E65100"/>
                <w:sz w:val="18"/>
                <w:szCs w:val="18"/>
              </w:rPr>
              <w:t>N/A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Single-institution EHR databases; no external data linkage performed.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METHODS — Participants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5a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Specifies key elements of the study population: eligibility criteria, recruitment method, and treatment setting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Adults ≥18 yrs; first ICU admission per patient; exclude pre-existing CKD and renal impairment at admission. MIMIC-IV: n=199,822 eligible; MIMIC-III: n=34,181. Flow diagram provided. Section 2.2 + Fig 1.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5b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Describes the flow of participants through the study (e.g. flow diagram)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CONSORT-style flow diagram provided (flow_diagram_paper.docx) showing all inclusion/exclusion steps for both MIMIC-IV and MIMIC-III.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METHODS — Outcome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6a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Clearly defines the outcome(s) to be predicted, including how and when the outcome was measured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Primary: incident AKI (KDIGO creatinine criteria) during index admission, excluding patients with pre-existing CKD or renal impairment. Secondary: post-AKI CKD (ICD-coded, ≥90 days post-discharge) and all-cause mortality. Section 2.3.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6b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Reports whether outcome assessors were blinded to predictor information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E65100"/>
                <w:sz w:val="18"/>
                <w:szCs w:val="18"/>
              </w:rPr>
              <w:t>N/A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Retrospective EHR study; outcomes algorithmically derived from structured data. No human outcome assessors.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METHODS — Predictors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7a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Describes all predictors used in the model, including how and when they were measured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Demographics (age, sex, race, insurance), 35 lab values (7-day pre-ICU window), 6 vital signs (48h pre-ICU), comorbidities (ICD-coded), fluid balance, medication history. All measured prior to ICU admission to avoid leakage. Section 2.4 + Supplemental Table.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7b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Reports any actions taken to blind assessment of predictors (if applicable)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E65100"/>
                <w:sz w:val="18"/>
                <w:szCs w:val="18"/>
              </w:rPr>
              <w:t>N/A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Retrospective EHR study; all predictors extracted algorithmically from structured data.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METHODS — Sample Size, Missing Data, Statistical Methods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8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Explains how the study size was determined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9A825"/>
                <w:sz w:val="18"/>
                <w:szCs w:val="18"/>
              </w:rPr>
              <w:t>~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Sample size determined by all eligible admissions in MIMIC-IV/III meeting inclusion criteria — no formal power calculation (uses entire available dataset). Events-per-variable ratio is high (26,184 AKI events / ~100 predictors). This is noted as a study characteristic rather than a limitation.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Describes how missing data were handled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3-tier median imputation: (1) version+sex+age଒2yr, (2) version+age଒2yr, (3) version medians. Binary missingness indicator flags (*_missing) added for each imputed feature. No patients excluded due to missingness. Section 2.5.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10a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Describes how the data were split (development vs. validation)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MIMIC-IV split 60/20/20 (train/val/test) using GroupShuffleSplit on subject_id to prevent patient-level leakage. MIMIC-III used as independent external validation set. Section 2.6.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10b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Describes the AI/ML methods used, including hyperparameter tuning and model selection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Six models: Elastic Net logistic regression, Random Forest, XGBoost, DNN, Self-Attention, DCN. Hyperparameters tuned on validation set. Architecture and training details in Section 2.7 + Supplemental.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10c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Describes measures of model performance and, if relevant, uncertainty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AUROC and AUPRC with 95% bootstrap CIs (1,000 resamples, percentile method). Calibration: Brier score, Brier skill score, ECE, calibration curves. C-index for survival models. Section 2.8 + uncertainty_intervals/ + calibration/.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10d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Describes any model updating after validation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E65100"/>
                <w:sz w:val="18"/>
                <w:szCs w:val="18"/>
              </w:rPr>
              <w:t>N/A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No model updating performed after external validation; models are evaluated as-trained.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RESULTS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Reports the numbers of participants and outcome events in each dataset, with a flow diagram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Table 1 reports participant counts and AKI prevalence by sex. Flow diagram shows derivation from 546,028 raw MIMIC-IV admissions to 199,822 eligible (26,184 AKI). MIMIC-III: 34,181 eligible (6,828 AKI).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12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Reports characteristics of participants in each dataset, including key predictor distributions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Table 1 provides sex-stratified demographics, comorbidities, lab values, and AKI rates for both MIMIC-IV and MIMIC-III cohorts.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13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Reports model performance (discrimination, calibration) with confidence intervals in the development and validation datasets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Table 2 reports AUROC/AUPRC for all models on MIMIC-IV test and MIMIC-III. Bootstrap 95% CIs added (revision). Calibration curves, Brier scores, and ECE reported in revision supplement. Best: XGBoost AUROC 0.927 (MIMIC-IV), 0.829 (MIMIC-III).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14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If done, reports results of any subgroup analyses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Sex-stratified SHAP feature importance, H-statistic sex interactions, sex-stratified calibration curves. Post-AKI outcomes stratified by sex in survival models. Sections 3.2–3.4.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DISCUSSION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15a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Summarises the overall results of the study, including key model performance measures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Discussion summarises AUC range (0.829–0.927), transportability, key sex interaction findings (creatinine, hemoglobin, age, H-statistics), and survival model results. Section 4.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15b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Discusses limitations of the study, including potential sources of bias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Limitations discussed: single-center BIDMC data, ICD coding bias for CKD in MIMIC-III (addressed by lab-CKD sensitivity analysis), binary sex variable, no prospective validation, retrospective design. Section 4.3.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15c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Discusses the potential clinical use and implications of the model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Discussion addresses clinical utility: sex-specific risk stratification, targeted nephroprotection, and implications for ICU monitoring protocols. Section 4.2.</w:t>
            </w:r>
          </w:p>
        </w:tc>
      </w:tr>
      <w:tr>
        <w:tc>
          <w:tcPr>
            <w:tcW w:w="9360" w:type="dxa"/>
            <w:gridSpan w:val="4"/>
            <w:shd w:val="clear" w:fill="2E5F8A"/>
          </w:tcPr>
          <w:p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OTHER INFORMATION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16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Provides information on supplementary materials (e.g. code, data availability)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Full code available at https://github.com/noboundarystat/AKI-prediction-MIMIC. MIMIC-III/IV data available via PhysioNet (credentialed access). Supplemental materials include feature list, model architectures, and additional results.</w:t>
            </w:r>
          </w:p>
        </w:tc>
      </w:tr>
      <w:tr>
        <w:tc>
          <w:tcPr>
            <w:tcW w:w="480" w:type="dxa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17</w:t>
            </w:r>
          </w:p>
        </w:tc>
        <w:tc>
          <w:tcPr>
            <w:tcW w:w="3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Gives the source of funding and role of funders</w:t>
            </w:r>
          </w:p>
        </w:tc>
        <w:tc>
          <w:tcPr>
            <w:tcW w:w="480" w:type="dxa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2E7D32"/>
                <w:sz w:val="18"/>
                <w:szCs w:val="18"/>
              </w:rPr>
              <w:t>✓</w:t>
            </w:r>
          </w:p>
        </w:tc>
        <w:tc>
          <w:tcPr>
            <w:tcW w:w="5200" w:type="dxa"/>
          </w:tcPr>
          <w:p>
            <w:r>
              <w:rPr>
                <w:rFonts w:ascii="Arial" w:hAnsi="Arial" w:cs="Arial"/>
                <w:sz w:val="18"/>
                <w:szCs w:val="18"/>
              </w:rPr>
              <w:t>DataWork!Prize Phase 1 Award. Funders had no role in study design, data analysis, or manuscript preparation. Acknowledgments section.</w:t>
            </w:r>
          </w:p>
        </w:tc>
      </w:tr>
      <w:tr>
        <w:tc>
          <w:tcPr>
            <w:tcW w:w="480" w:type="dxa"/>
            <w:shd w:val="clear" w:fill="EBF3FB"/>
          </w:tcPr>
          <w:p>
            <w:r>
              <w:rPr>
                <w:rFonts w:ascii="Arial" w:hAnsi="Arial" w:cs="Arial"/>
                <w:b/>
                <w:sz w:val="18"/>
                <w:szCs w:val="18"/>
              </w:rPr>
              <w:t>18</w:t>
            </w:r>
          </w:p>
        </w:tc>
        <w:tc>
          <w:tcPr>
            <w:tcW w:w="3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Declares any conflicts of interest for all authors</w:t>
            </w:r>
          </w:p>
        </w:tc>
        <w:tc>
          <w:tcPr>
            <w:tcW w:w="480" w:type="dxa"/>
            <w:shd w:val="clear" w:fill="EBF3FB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9A825"/>
                <w:sz w:val="18"/>
                <w:szCs w:val="18"/>
              </w:rPr>
              <w:t>~</w:t>
            </w:r>
          </w:p>
        </w:tc>
        <w:tc>
          <w:tcPr>
            <w:tcW w:w="5200" w:type="dxa"/>
            <w:shd w:val="clear" w:fill="EBF3FB"/>
          </w:tcPr>
          <w:p>
            <w:r>
              <w:rPr>
                <w:rFonts w:ascii="Arial" w:hAnsi="Arial" w:cs="Arial"/>
                <w:sz w:val="18"/>
                <w:szCs w:val="18"/>
              </w:rPr>
              <w:t>Conflict of interest statement to be confirmed with co-authors prior to resubmission. L. Lass is employed at SIG; no financial interest in study outcomes.</w:t>
            </w:r>
          </w:p>
        </w:tc>
      </w:tr>
    </w:tbl>
    <w:p>
      <w:pPr>
        <w:spacing w:before="300" w:after="120"/>
      </w:pPr>
      <w:r>
        <w:rPr>
          <w:rFonts w:ascii="Arial" w:hAnsi="Arial" w:cs="Arial"/>
          <w:b/>
          <w:sz w:val="22"/>
          <w:szCs w:val="22"/>
        </w:rPr>
        <w:t>Summary</w:t>
      </w:r>
    </w:p>
    <w:p>
      <w:pPr>
        <w:spacing w:after="100"/>
      </w:pPr>
      <w:r>
        <w:rPr>
          <w:rFonts w:ascii="Arial" w:hAnsi="Arial" w:cs="Arial"/>
          <w:sz w:val="22"/>
          <w:szCs w:val="22"/>
        </w:rPr>
        <w:t xml:space="preserve">✓ Fully reported: 15 items (1, 2, 3a, 3b, 4a, 5a, 5b, 6a, 9, 10a, 10b, 10c, 11–14, 15a–15c, 16, 17)</w:t>
      </w:r>
    </w:p>
    <w:p>
      <w:pPr>
        <w:spacing w:after="100"/>
      </w:pPr>
      <w:r>
        <w:rPr>
          <w:rFonts w:ascii="Arial" w:hAnsi="Arial" w:cs="Arial"/>
          <w:sz w:val="22"/>
          <w:szCs w:val="22"/>
        </w:rPr>
        <w:t xml:space="preserve">~ Partially addressed: 2 items (8 — no formal power calc; 18 — COI to confirm with co-authors)</w:t>
      </w:r>
    </w:p>
    <w:p>
      <w:pPr>
        <w:spacing w:after="100"/>
      </w:pPr>
      <w:r>
        <w:rPr>
          <w:rFonts w:ascii="Arial" w:hAnsi="Arial" w:cs="Arial"/>
          <w:sz w:val="22"/>
          <w:szCs w:val="22"/>
        </w:rPr>
        <w:t xml:space="preserve">N/A: 4 items (4b, 6b, 7b, 10d — retrospective EHR study, no updating)</w:t>
      </w:r>
    </w:p>
    <w:p>
      <w:pPr>
        <w:spacing w:after="200"/>
      </w:pPr>
      <w:r>
        <w:rPr>
          <w:rFonts w:ascii="Arial" w:hAnsi="Arial" w:cs="Arial"/>
          <w:i/>
          <w:color w:val="555555"/>
          <w:sz w:val="20"/>
          <w:szCs w:val="20"/>
        </w:rPr>
        <w:t xml:space="preserve">Note: item 8 (sample size justification) should be briefly addressed in the manuscript by stating that all eligible admissions were included and reporting the events-per-variable ratio (~260 EPV for AKI prediction). Confirm COI statement with Rui Feng before submission.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2026-06-04T02:40:16.880Z</dcterms:created>
  <dcterms:modified xsi:type="dcterms:W3CDTF">2026-06-04T02:40:16.881Z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