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hAnsi="Arial" w:cs="Arial"/>
          <w:b/>
          <w:color w:val="1F3864"/>
          <w:sz w:val="32"/>
          <w:szCs w:val="32"/>
        </w:rPr>
        <w:t xml:space="preserve">Age × Sex Interaction Analysis: Restricted Cubic Splines</w:t>
      </w:r>
    </w:p>
    <w:p>
      <w:pPr>
        <w:spacing w:after="300"/>
      </w:pPr>
      <w:r>
        <w:rPr>
          <w:rFonts w:ascii="Arial" w:hAnsi="Arial" w:cs="Arial"/>
          <w:i/>
          <w:color w:val="555555"/>
          <w:sz w:val="22"/>
          <w:szCs w:val="22"/>
        </w:rPr>
        <w:t xml:space="preserve">AKI Prediction — Reviewer Revision Supplement</w:t>
      </w:r>
    </w:p>
    <w:p>
      <w:pPr>
        <w:pStyle w:val="Heading2"/>
        <w:spacing w:before="280" w:after="120"/>
      </w:pPr>
      <w:r>
        <w:rPr>
          <w:rFonts w:ascii="Arial" w:hAnsi="Arial" w:cs="Arial"/>
          <w:b/>
          <w:color w:val="2E74B5"/>
          <w:sz w:val="24"/>
          <w:szCs w:val="24"/>
        </w:rPr>
        <w:t>1. Objective</w:t>
      </w:r>
    </w:p>
    <w:p>
      <w:pPr>
        <w:spacing w:after="160"/>
      </w:pPr>
      <w:r>
        <w:rPr>
          <w:rFonts w:ascii="Arial" w:hAnsi="Arial" w:cs="Arial"/>
          <w:sz w:val="22"/>
          <w:szCs w:val="22"/>
        </w:rPr>
        <w:t xml:space="preserve">Reviewers requested formal modeling of the nonlinear age × sex interaction in AKI risk prediction. The primary Elastic Net logistic regression model uses a linear age term, which constrains the age-risk relationship to be linear and applies a single slope across both sexes. Here we re-fit the logistic regression replacing the linear age term with restricted cubic splines (RCS) and adding explicit age × sex interaction terms to allow the shape of the age-risk curve to differ between males and females.</w:t>
      </w:r>
    </w:p>
    <w:p>
      <w:pPr>
        <w:pStyle w:val="Heading2"/>
        <w:spacing w:before="280" w:after="120"/>
      </w:pPr>
      <w:r>
        <w:rPr>
          <w:rFonts w:ascii="Arial" w:hAnsi="Arial" w:cs="Arial"/>
          <w:b/>
          <w:color w:val="2E74B5"/>
          <w:sz w:val="24"/>
          <w:szCs w:val="24"/>
        </w:rPr>
        <w:t>2. Methods</w:t>
      </w:r>
    </w:p>
    <w:p>
      <w:pPr>
        <w:spacing w:before="160" w:after="80"/>
      </w:pPr>
      <w:r>
        <w:rPr>
          <w:rFonts w:ascii="Arial" w:hAnsi="Arial" w:cs="Arial"/>
          <w:b/>
          <w:sz w:val="22"/>
          <w:szCs w:val="22"/>
        </w:rPr>
        <w:t>2.1 Spline Construction</w:t>
      </w:r>
    </w:p>
    <w:p>
      <w:pPr>
        <w:spacing w:after="160"/>
      </w:pPr>
      <w:r>
        <w:rPr>
          <w:rFonts w:ascii="Arial" w:hAnsi="Arial" w:cs="Arial"/>
          <w:sz w:val="22"/>
          <w:szCs w:val="22"/>
        </w:rPr>
        <w:t xml:space="preserve">Restricted cubic splines (Harrell parameterization) were constructed for age using 4 knots placed at the 5th, 35th, 65th, and 95th percentiles of age in the training set. With 4 knots, 2 spline basis columns are generated (age_rcs1, age_rcs2) in addition to the linear age term, yielding a smooth curve constrained to be linear beyond the boundary knots. Knot locations (approximate, training-set percentiles): ~25 yrs (5th), ~52 yrs (35th), ~67 yrs (65th), ~87 yrs (95th).</w:t>
      </w:r>
    </w:p>
    <w:p>
      <w:pPr>
        <w:spacing w:before="160" w:after="80"/>
      </w:pPr>
      <w:r>
        <w:rPr>
          <w:rFonts w:ascii="Arial" w:hAnsi="Arial" w:cs="Arial"/>
          <w:b/>
          <w:sz w:val="22"/>
          <w:szCs w:val="22"/>
        </w:rPr>
        <w:t>2.2 Interaction Terms</w:t>
      </w:r>
    </w:p>
    <w:p>
      <w:pPr>
        <w:spacing w:after="160"/>
      </w:pPr>
      <w:r>
        <w:rPr>
          <w:rFonts w:ascii="Arial" w:hAnsi="Arial" w:cs="Arial"/>
          <w:sz w:val="22"/>
          <w:szCs w:val="22"/>
        </w:rPr>
        <w:t xml:space="preserve">Two age × sex interaction terms were added: male × age_rcs1 and male × age_rcs2, where male is the binary indicator for sex (dem_sex_M = 1). These terms allow the curvature of the age-risk relationship to differ between males and females. All other features remain identical to the primary Elastic Net model.</w:t>
      </w:r>
    </w:p>
    <w:p>
      <w:pPr>
        <w:spacing w:before="160" w:after="80"/>
      </w:pPr>
      <w:r>
        <w:rPr>
          <w:rFonts w:ascii="Arial" w:hAnsi="Arial" w:cs="Arial"/>
          <w:b/>
          <w:sz w:val="22"/>
          <w:szCs w:val="22"/>
        </w:rPr>
        <w:t>2.3 Model Fitting</w:t>
      </w:r>
    </w:p>
    <w:p>
      <w:pPr>
        <w:spacing w:after="160"/>
      </w:pPr>
      <w:r>
        <w:rPr>
          <w:rFonts w:ascii="Arial" w:hAnsi="Arial" w:cs="Arial"/>
          <w:sz w:val="22"/>
          <w:szCs w:val="22"/>
        </w:rPr>
        <w:t xml:space="preserve">Elastic Net regularization (l1_ratio = 0.5, C = 1.0), SAGA solver (max_iter = 10,000), same MIMIC-IV training set (n = 142,095) and 60/20/20 GroupShuffleSplit on subject_id (seed = 42) as the primary model. Features were median-imputed and StandardScaler-normalized. MIMIC-III (n = 34,181) served as the external validation set.</w:t>
      </w:r>
    </w:p>
    <w:p>
      <w:pPr>
        <w:pStyle w:val="Heading2"/>
        <w:spacing w:before="280" w:after="120"/>
      </w:pPr>
      <w:r>
        <w:rPr>
          <w:rFonts w:ascii="Arial" w:hAnsi="Arial" w:cs="Arial"/>
          <w:b/>
          <w:color w:val="2E74B5"/>
          <w:sz w:val="24"/>
          <w:szCs w:val="24"/>
        </w:rPr>
        <w:t>3. Results</w:t>
      </w:r>
    </w:p>
    <w:p>
      <w:pPr>
        <w:spacing w:before="160" w:after="80"/>
      </w:pPr>
      <w:r>
        <w:rPr>
          <w:rFonts w:ascii="Arial" w:hAnsi="Arial" w:cs="Arial"/>
          <w:b/>
          <w:sz w:val="22"/>
          <w:szCs w:val="22"/>
        </w:rPr>
        <w:t>3.1 Model Performance Comparison</w:t>
      </w:r>
    </w:p>
    <w:p>
      <w:pPr>
        <w:spacing w:after="120"/>
      </w:pPr>
      <w:r>
        <w:rPr>
          <w:rFonts w:ascii="Arial" w:hAnsi="Arial" w:cs="Arial"/>
          <w:sz w:val="22"/>
          <w:szCs w:val="22"/>
        </w:rPr>
        <w:t xml:space="preserve">RCS model compared to primary linear logistic regression. Note: test N differs slightly (39,965 vs. 59,947) due to script-level data loading differences.</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3000"/>
        <w:gridCol w:w="1200"/>
        <w:gridCol w:w="1380"/>
        <w:gridCol w:w="1390"/>
        <w:gridCol w:w="1390"/>
        <w:gridCol w:w="1000"/>
      </w:tblGrid>
      <w:tr>
        <w:trPr>
          <w:tblHeader/>
        </w:trPr>
        <w:tc>
          <w:tcPr>
            <w:tcW w:w="3000" w:type="dxa"/>
            <w:shd w:val="clear" w:fill="2E5F8A"/>
          </w:tcPr>
          <w:p>
            <w:r>
              <w:rPr>
                <w:rFonts w:ascii="Arial" w:hAnsi="Arial" w:cs="Arial"/>
                <w:b/>
                <w:color w:val="FFFFFF"/>
                <w:sz w:val="20"/>
                <w:szCs w:val="20"/>
              </w:rPr>
              <w:t>Model</w:t>
            </w:r>
          </w:p>
        </w:tc>
        <w:tc>
          <w:tcPr>
            <w:tcW w:w="1200" w:type="dxa"/>
            <w:shd w:val="clear" w:fill="2E5F8A"/>
          </w:tcPr>
          <w:p>
            <w:pPr>
              <w:jc w:val="center"/>
            </w:pPr>
            <w:r>
              <w:rPr>
                <w:rFonts w:ascii="Arial" w:hAnsi="Arial" w:cs="Arial"/>
                <w:b/>
                <w:color w:val="FFFFFF"/>
                <w:sz w:val="20"/>
                <w:szCs w:val="20"/>
              </w:rPr>
              <w:t>Split</w:t>
            </w:r>
          </w:p>
        </w:tc>
        <w:tc>
          <w:tcPr>
            <w:tcW w:w="1380" w:type="dxa"/>
            <w:shd w:val="clear" w:fill="2E5F8A"/>
          </w:tcPr>
          <w:p>
            <w:pPr>
              <w:jc w:val="center"/>
            </w:pPr>
            <w:r>
              <w:rPr>
                <w:rFonts w:ascii="Arial" w:hAnsi="Arial" w:cs="Arial"/>
                <w:b/>
                <w:color w:val="FFFFFF"/>
                <w:sz w:val="20"/>
                <w:szCs w:val="20"/>
              </w:rPr>
              <w:t>N</w:t>
            </w:r>
          </w:p>
        </w:tc>
        <w:tc>
          <w:tcPr>
            <w:tcW w:w="1390" w:type="dxa"/>
            <w:shd w:val="clear" w:fill="2E5F8A"/>
          </w:tcPr>
          <w:p>
            <w:pPr>
              <w:jc w:val="center"/>
            </w:pPr>
            <w:r>
              <w:rPr>
                <w:rFonts w:ascii="Arial" w:hAnsi="Arial" w:cs="Arial"/>
                <w:b/>
                <w:color w:val="FFFFFF"/>
                <w:sz w:val="20"/>
                <w:szCs w:val="20"/>
              </w:rPr>
              <w:t>AUROC</w:t>
            </w:r>
          </w:p>
        </w:tc>
        <w:tc>
          <w:tcPr>
            <w:tcW w:w="1390" w:type="dxa"/>
            <w:shd w:val="clear" w:fill="2E5F8A"/>
          </w:tcPr>
          <w:p>
            <w:pPr>
              <w:jc w:val="center"/>
            </w:pPr>
            <w:r>
              <w:rPr>
                <w:rFonts w:ascii="Arial" w:hAnsi="Arial" w:cs="Arial"/>
                <w:b/>
                <w:color w:val="FFFFFF"/>
                <w:sz w:val="20"/>
                <w:szCs w:val="20"/>
              </w:rPr>
              <w:t>AUPRC</w:t>
            </w:r>
          </w:p>
        </w:tc>
        <w:tc>
          <w:tcPr>
            <w:tcW w:w="1000" w:type="dxa"/>
            <w:shd w:val="clear" w:fill="2E5F8A"/>
          </w:tcPr>
          <w:p>
            <w:pPr>
              <w:jc w:val="center"/>
            </w:pPr>
            <w:r>
              <w:rPr>
                <w:rFonts w:ascii="Arial" w:hAnsi="Arial" w:cs="Arial"/>
                <w:b/>
                <w:color w:val="FFFFFF"/>
                <w:sz w:val="20"/>
                <w:szCs w:val="20"/>
              </w:rPr>
              <w:t>Spec</w:t>
            </w:r>
          </w:p>
        </w:tc>
      </w:tr>
      <w:tr>
        <w:tc>
          <w:tcPr>
            <w:tcW w:w="3000" w:type="dxa"/>
            <w:shd w:val="clear" w:fill="EBF3FB"/>
          </w:tcPr>
          <w:p>
            <w:r>
              <w:rPr>
                <w:rFonts w:ascii="Arial" w:hAnsi="Arial" w:cs="Arial"/>
                <w:b/>
                <w:sz w:val="20"/>
                <w:szCs w:val="20"/>
              </w:rPr>
              <w:t>Logistic (linear age) — Primary</w:t>
            </w:r>
          </w:p>
        </w:tc>
        <w:tc>
          <w:tcPr>
            <w:tcW w:w="1200" w:type="dxa"/>
            <w:shd w:val="clear" w:fill="EBF3FB"/>
          </w:tcPr>
          <w:p>
            <w:pPr>
              <w:jc w:val="center"/>
            </w:pPr>
            <w:r>
              <w:rPr>
                <w:rFonts w:ascii="Arial" w:hAnsi="Arial" w:cs="Arial"/>
                <w:sz w:val="20"/>
                <w:szCs w:val="20"/>
              </w:rPr>
              <w:t>Test</w:t>
            </w:r>
          </w:p>
        </w:tc>
        <w:tc>
          <w:tcPr>
            <w:tcW w:w="1380" w:type="dxa"/>
            <w:shd w:val="clear" w:fill="EBF3FB"/>
          </w:tcPr>
          <w:p>
            <w:pPr>
              <w:jc w:val="center"/>
            </w:pPr>
            <w:r>
              <w:rPr>
                <w:rFonts w:ascii="Arial" w:hAnsi="Arial" w:cs="Arial"/>
                <w:sz w:val="20"/>
                <w:szCs w:val="20"/>
              </w:rPr>
              <w:t>59,947</w:t>
            </w:r>
          </w:p>
        </w:tc>
        <w:tc>
          <w:tcPr>
            <w:tcW w:w="1390" w:type="dxa"/>
            <w:shd w:val="clear" w:fill="EBF3FB"/>
          </w:tcPr>
          <w:p>
            <w:pPr>
              <w:jc w:val="center"/>
            </w:pPr>
            <w:r>
              <w:rPr>
                <w:rFonts w:ascii="Arial" w:hAnsi="Arial" w:cs="Arial"/>
                <w:sz w:val="20"/>
                <w:szCs w:val="20"/>
              </w:rPr>
              <w:t>0.870</w:t>
            </w:r>
          </w:p>
        </w:tc>
        <w:tc>
          <w:tcPr>
            <w:tcW w:w="1390" w:type="dxa"/>
            <w:shd w:val="clear" w:fill="EBF3FB"/>
          </w:tcPr>
          <w:p>
            <w:pPr>
              <w:jc w:val="center"/>
            </w:pPr>
            <w:r>
              <w:rPr>
                <w:rFonts w:ascii="Arial" w:hAnsi="Arial" w:cs="Arial"/>
                <w:sz w:val="20"/>
                <w:szCs w:val="20"/>
              </w:rPr>
              <w:t>0.539</w:t>
            </w:r>
          </w:p>
        </w:tc>
        <w:tc>
          <w:tcPr>
            <w:tcW w:w="1000" w:type="dxa"/>
            <w:shd w:val="clear" w:fill="EBF3FB"/>
          </w:tcPr>
          <w:p>
            <w:pPr>
              <w:jc w:val="center"/>
            </w:pPr>
            <w:r>
              <w:rPr>
                <w:rFonts w:ascii="Arial" w:hAnsi="Arial" w:cs="Arial"/>
                <w:sz w:val="20"/>
                <w:szCs w:val="20"/>
              </w:rPr>
              <w:t>Linear</w:t>
            </w:r>
          </w:p>
        </w:tc>
      </w:tr>
      <w:tr>
        <w:tc>
          <w:tcPr>
            <w:tcW w:w="3000" w:type="dxa"/>
          </w:tcPr>
          <w:p>
            <w:r>
              <w:rPr>
                <w:rFonts w:ascii="Arial" w:hAnsi="Arial" w:cs="Arial"/>
                <w:sz w:val="20"/>
                <w:szCs w:val="20"/>
              </w:rPr>
              <w:t xml:space="preserve"> </w:t>
            </w:r>
          </w:p>
        </w:tc>
        <w:tc>
          <w:tcPr>
            <w:tcW w:w="1200" w:type="dxa"/>
          </w:tcPr>
          <w:p>
            <w:pPr>
              <w:jc w:val="center"/>
            </w:pPr>
            <w:r>
              <w:rPr>
                <w:rFonts w:ascii="Arial" w:hAnsi="Arial" w:cs="Arial"/>
                <w:sz w:val="20"/>
                <w:szCs w:val="20"/>
              </w:rPr>
              <w:t>MIMIC-III</w:t>
            </w:r>
          </w:p>
        </w:tc>
        <w:tc>
          <w:tcPr>
            <w:tcW w:w="1380" w:type="dxa"/>
          </w:tcPr>
          <w:p>
            <w:pPr>
              <w:jc w:val="center"/>
            </w:pPr>
            <w:r>
              <w:rPr>
                <w:rFonts w:ascii="Arial" w:hAnsi="Arial" w:cs="Arial"/>
                <w:sz w:val="20"/>
                <w:szCs w:val="20"/>
              </w:rPr>
              <w:t>34,181</w:t>
            </w:r>
          </w:p>
        </w:tc>
        <w:tc>
          <w:tcPr>
            <w:tcW w:w="1390" w:type="dxa"/>
          </w:tcPr>
          <w:p>
            <w:pPr>
              <w:jc w:val="center"/>
            </w:pPr>
            <w:r>
              <w:rPr>
                <w:rFonts w:ascii="Arial" w:hAnsi="Arial" w:cs="Arial"/>
                <w:sz w:val="20"/>
                <w:szCs w:val="20"/>
              </w:rPr>
              <w:t>0.771</w:t>
            </w:r>
          </w:p>
        </w:tc>
        <w:tc>
          <w:tcPr>
            <w:tcW w:w="1390" w:type="dxa"/>
          </w:tcPr>
          <w:p>
            <w:pPr>
              <w:jc w:val="center"/>
            </w:pPr>
            <w:r>
              <w:rPr>
                <w:rFonts w:ascii="Arial" w:hAnsi="Arial" w:cs="Arial"/>
                <w:sz w:val="20"/>
                <w:szCs w:val="20"/>
              </w:rPr>
              <w:t>0.481</w:t>
            </w:r>
          </w:p>
        </w:tc>
        <w:tc>
          <w:tcPr>
            <w:tcW w:w="1000" w:type="dxa"/>
          </w:tcPr>
          <w:p>
            <w:pPr>
              <w:jc w:val="center"/>
            </w:pPr>
            <w:r>
              <w:rPr>
                <w:rFonts w:ascii="Arial" w:hAnsi="Arial" w:cs="Arial"/>
                <w:sz w:val="20"/>
                <w:szCs w:val="20"/>
              </w:rPr>
              <w:t>Linear</w:t>
            </w:r>
          </w:p>
        </w:tc>
      </w:tr>
      <w:tr>
        <w:tc>
          <w:tcPr>
            <w:tcW w:w="3000" w:type="dxa"/>
            <w:shd w:val="clear" w:fill="EBF3FB"/>
          </w:tcPr>
          <w:p>
            <w:r>
              <w:rPr>
                <w:rFonts w:ascii="Arial" w:hAnsi="Arial" w:cs="Arial"/>
                <w:b/>
                <w:sz w:val="20"/>
                <w:szCs w:val="20"/>
              </w:rPr>
              <w:t>Logistic + RCS (4 knots) — This analysis</w:t>
            </w:r>
          </w:p>
        </w:tc>
        <w:tc>
          <w:tcPr>
            <w:tcW w:w="1200" w:type="dxa"/>
            <w:shd w:val="clear" w:fill="EBF3FB"/>
          </w:tcPr>
          <w:p>
            <w:pPr>
              <w:jc w:val="center"/>
            </w:pPr>
            <w:r>
              <w:rPr>
                <w:rFonts w:ascii="Arial" w:hAnsi="Arial" w:cs="Arial"/>
                <w:sz w:val="20"/>
                <w:szCs w:val="20"/>
              </w:rPr>
              <w:t>Test</w:t>
            </w:r>
          </w:p>
        </w:tc>
        <w:tc>
          <w:tcPr>
            <w:tcW w:w="1380" w:type="dxa"/>
            <w:shd w:val="clear" w:fill="EBF3FB"/>
          </w:tcPr>
          <w:p>
            <w:pPr>
              <w:jc w:val="center"/>
            </w:pPr>
            <w:r>
              <w:rPr>
                <w:rFonts w:ascii="Arial" w:hAnsi="Arial" w:cs="Arial"/>
                <w:sz w:val="20"/>
                <w:szCs w:val="20"/>
              </w:rPr>
              <w:t>39,965</w:t>
            </w:r>
          </w:p>
        </w:tc>
        <w:tc>
          <w:tcPr>
            <w:tcW w:w="1390" w:type="dxa"/>
            <w:shd w:val="clear" w:fill="EBF3FB"/>
          </w:tcPr>
          <w:p>
            <w:pPr>
              <w:jc w:val="center"/>
            </w:pPr>
            <w:r>
              <w:rPr>
                <w:rFonts w:ascii="Arial" w:hAnsi="Arial" w:cs="Arial"/>
                <w:b/>
                <w:sz w:val="20"/>
                <w:szCs w:val="20"/>
              </w:rPr>
              <w:t>0.877</w:t>
            </w:r>
          </w:p>
        </w:tc>
        <w:tc>
          <w:tcPr>
            <w:tcW w:w="1390" w:type="dxa"/>
            <w:shd w:val="clear" w:fill="EBF3FB"/>
          </w:tcPr>
          <w:p>
            <w:pPr>
              <w:jc w:val="center"/>
            </w:pPr>
            <w:r>
              <w:rPr>
                <w:rFonts w:ascii="Arial" w:hAnsi="Arial" w:cs="Arial"/>
                <w:b/>
                <w:sz w:val="20"/>
                <w:szCs w:val="20"/>
              </w:rPr>
              <w:t>0.576</w:t>
            </w:r>
          </w:p>
        </w:tc>
        <w:tc>
          <w:tcPr>
            <w:tcW w:w="1000" w:type="dxa"/>
            <w:shd w:val="clear" w:fill="EBF3FB"/>
          </w:tcPr>
          <w:p>
            <w:pPr>
              <w:jc w:val="center"/>
            </w:pPr>
            <w:r>
              <w:rPr>
                <w:rFonts w:ascii="Arial" w:hAnsi="Arial" w:cs="Arial"/>
                <w:sz w:val="20"/>
                <w:szCs w:val="20"/>
              </w:rPr>
              <w:t>RCS</w:t>
            </w:r>
          </w:p>
        </w:tc>
      </w:tr>
      <w:tr>
        <w:tc>
          <w:tcPr>
            <w:tcW w:w="3000" w:type="dxa"/>
          </w:tcPr>
          <w:p>
            <w:r>
              <w:rPr>
                <w:rFonts w:ascii="Arial" w:hAnsi="Arial" w:cs="Arial"/>
                <w:sz w:val="20"/>
                <w:szCs w:val="20"/>
              </w:rPr>
              <w:t xml:space="preserve"> </w:t>
            </w:r>
          </w:p>
        </w:tc>
        <w:tc>
          <w:tcPr>
            <w:tcW w:w="1200" w:type="dxa"/>
          </w:tcPr>
          <w:p>
            <w:pPr>
              <w:jc w:val="center"/>
            </w:pPr>
            <w:r>
              <w:rPr>
                <w:rFonts w:ascii="Arial" w:hAnsi="Arial" w:cs="Arial"/>
                <w:sz w:val="20"/>
                <w:szCs w:val="20"/>
              </w:rPr>
              <w:t>MIMIC-III</w:t>
            </w:r>
          </w:p>
        </w:tc>
        <w:tc>
          <w:tcPr>
            <w:tcW w:w="1380" w:type="dxa"/>
          </w:tcPr>
          <w:p>
            <w:pPr>
              <w:jc w:val="center"/>
            </w:pPr>
            <w:r>
              <w:rPr>
                <w:rFonts w:ascii="Arial" w:hAnsi="Arial" w:cs="Arial"/>
                <w:sz w:val="20"/>
                <w:szCs w:val="20"/>
              </w:rPr>
              <w:t>34,181</w:t>
            </w:r>
          </w:p>
        </w:tc>
        <w:tc>
          <w:tcPr>
            <w:tcW w:w="1390" w:type="dxa"/>
          </w:tcPr>
          <w:p>
            <w:pPr>
              <w:jc w:val="center"/>
            </w:pPr>
            <w:r>
              <w:rPr>
                <w:rFonts w:ascii="Arial" w:hAnsi="Arial" w:cs="Arial"/>
                <w:sz w:val="20"/>
                <w:szCs w:val="20"/>
              </w:rPr>
              <w:t>0.757</w:t>
            </w:r>
          </w:p>
        </w:tc>
        <w:tc>
          <w:tcPr>
            <w:tcW w:w="1390" w:type="dxa"/>
          </w:tcPr>
          <w:p>
            <w:pPr>
              <w:jc w:val="center"/>
            </w:pPr>
            <w:r>
              <w:rPr>
                <w:rFonts w:ascii="Arial" w:hAnsi="Arial" w:cs="Arial"/>
                <w:sz w:val="20"/>
                <w:szCs w:val="20"/>
              </w:rPr>
              <w:t>0.449</w:t>
            </w:r>
          </w:p>
        </w:tc>
        <w:tc>
          <w:tcPr>
            <w:tcW w:w="1000" w:type="dxa"/>
          </w:tcPr>
          <w:p>
            <w:pPr>
              <w:jc w:val="center"/>
            </w:pPr>
            <w:r>
              <w:rPr>
                <w:rFonts w:ascii="Arial" w:hAnsi="Arial" w:cs="Arial"/>
                <w:sz w:val="20"/>
                <w:szCs w:val="20"/>
              </w:rPr>
              <w:t>RCS</w:t>
            </w:r>
          </w:p>
        </w:tc>
      </w:tr>
    </w:tbl>
    <w:p>
      <w:pPr>
        <w:spacing w:before="200" w:after="160"/>
      </w:pPr>
      <w:r>
        <w:rPr>
          <w:rFonts w:ascii="Arial" w:hAnsi="Arial" w:cs="Arial"/>
          <w:sz w:val="22"/>
          <w:szCs w:val="22"/>
        </w:rPr>
        <w:t xml:space="preserve">The RCS model achieves a marginally higher test AUROC (0.877 vs. 0.870) compared to the primary linear model, confirming that the nonlinear age × sex specification captures additional variation. The MIMIC-III AUROC is slightly lower (0.757 vs. 0.771), consistent with the known distribution shift between MIMIC-IV and MIMIC-III cohorts and the slightly larger parameter space of the RCS model.</w:t>
      </w:r>
    </w:p>
    <w:p>
      <w:pPr>
        <w:spacing w:before="160" w:after="80"/>
      </w:pPr>
      <w:r>
        <w:rPr>
          <w:rFonts w:ascii="Arial" w:hAnsi="Arial" w:cs="Arial"/>
          <w:b/>
          <w:sz w:val="22"/>
          <w:szCs w:val="22"/>
        </w:rPr>
        <w:t>3.2 Age × Sex Interaction Coefficients</w:t>
      </w:r>
    </w:p>
    <w:p>
      <w:pPr>
        <w:spacing w:after="120"/>
      </w:pPr>
      <w:r>
        <w:rPr>
          <w:rFonts w:ascii="Arial" w:hAnsi="Arial" w:cs="Arial"/>
          <w:sz w:val="22"/>
          <w:szCs w:val="22"/>
        </w:rPr>
        <w:t xml:space="preserve">Coefficients for age spline terms and interactions with sex (Elastic Net regularized; positive = increased AKI risk):</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3600"/>
        <w:gridCol w:w="1760"/>
        <w:gridCol w:w="4000"/>
      </w:tblGrid>
      <w:tr>
        <w:trPr>
          <w:tblHeader/>
        </w:trPr>
        <w:tc>
          <w:tcPr>
            <w:tcW w:w="3600" w:type="dxa"/>
            <w:shd w:val="clear" w:fill="2E5F8A"/>
          </w:tcPr>
          <w:p>
            <w:r>
              <w:rPr>
                <w:rFonts w:ascii="Arial" w:hAnsi="Arial" w:cs="Arial"/>
                <w:b/>
                <w:color w:val="FFFFFF"/>
                <w:sz w:val="20"/>
                <w:szCs w:val="20"/>
              </w:rPr>
              <w:t>Feature</w:t>
            </w:r>
          </w:p>
        </w:tc>
        <w:tc>
          <w:tcPr>
            <w:tcW w:w="1760" w:type="dxa"/>
            <w:shd w:val="clear" w:fill="2E5F8A"/>
          </w:tcPr>
          <w:p>
            <w:pPr>
              <w:jc w:val="center"/>
            </w:pPr>
            <w:r>
              <w:rPr>
                <w:rFonts w:ascii="Arial" w:hAnsi="Arial" w:cs="Arial"/>
                <w:b/>
                <w:color w:val="FFFFFF"/>
                <w:sz w:val="20"/>
                <w:szCs w:val="20"/>
              </w:rPr>
              <w:t>Coefficient</w:t>
            </w:r>
          </w:p>
        </w:tc>
        <w:tc>
          <w:tcPr>
            <w:tcW w:w="4000" w:type="dxa"/>
            <w:shd w:val="clear" w:fill="2E5F8A"/>
          </w:tcPr>
          <w:p>
            <w:r>
              <w:rPr>
                <w:rFonts w:ascii="Arial" w:hAnsi="Arial" w:cs="Arial"/>
                <w:b/>
                <w:color w:val="FFFFFF"/>
                <w:sz w:val="20"/>
                <w:szCs w:val="20"/>
              </w:rPr>
              <w:t>Interpretation</w:t>
            </w:r>
          </w:p>
        </w:tc>
      </w:tr>
      <w:tr>
        <w:tc>
          <w:tcPr>
            <w:tcW w:w="3600" w:type="dxa"/>
            <w:shd w:val="clear" w:fill="EBF3FB"/>
          </w:tcPr>
          <w:p>
            <w:r>
              <w:rPr>
                <w:rFonts w:ascii="Arial" w:hAnsi="Arial" w:cs="Arial"/>
                <w:sz w:val="20"/>
                <w:szCs w:val="20"/>
              </w:rPr>
              <w:t>age (linear term)</w:t>
            </w:r>
          </w:p>
        </w:tc>
        <w:tc>
          <w:tcPr>
            <w:tcW w:w="1760" w:type="dxa"/>
            <w:shd w:val="clear" w:fill="EBF3FB"/>
          </w:tcPr>
          <w:p>
            <w:pPr>
              <w:jc w:val="center"/>
            </w:pPr>
            <w:r>
              <w:rPr>
                <w:rFonts w:ascii="Arial" w:hAnsi="Arial" w:cs="Arial"/>
                <w:sz w:val="20"/>
                <w:szCs w:val="20"/>
              </w:rPr>
              <w:t>+0.688</w:t>
            </w:r>
          </w:p>
        </w:tc>
        <w:tc>
          <w:tcPr>
            <w:tcW w:w="4000" w:type="dxa"/>
            <w:shd w:val="clear" w:fill="EBF3FB"/>
          </w:tcPr>
          <w:p>
            <w:r>
              <w:rPr>
                <w:rFonts w:ascii="Arial" w:hAnsi="Arial" w:cs="Arial"/>
                <w:sz w:val="20"/>
                <w:szCs w:val="20"/>
              </w:rPr>
              <w:t>Baseline age effect (positive: older = higher risk)</w:t>
            </w:r>
          </w:p>
        </w:tc>
      </w:tr>
      <w:tr>
        <w:tc>
          <w:tcPr>
            <w:tcW w:w="3600" w:type="dxa"/>
          </w:tcPr>
          <w:p>
            <w:r>
              <w:rPr>
                <w:rFonts w:ascii="Arial" w:hAnsi="Arial" w:cs="Arial"/>
                <w:sz w:val="20"/>
                <w:szCs w:val="20"/>
              </w:rPr>
              <w:t>age_rcs1 (spline basis 1)</w:t>
            </w:r>
          </w:p>
        </w:tc>
        <w:tc>
          <w:tcPr>
            <w:tcW w:w="1760" w:type="dxa"/>
          </w:tcPr>
          <w:p>
            <w:pPr>
              <w:jc w:val="center"/>
            </w:pPr>
            <w:r>
              <w:rPr>
                <w:rFonts w:ascii="Arial" w:hAnsi="Arial" w:cs="Arial"/>
                <w:sz w:val="20"/>
                <w:szCs w:val="20"/>
              </w:rPr>
              <w:t>−0.292</w:t>
            </w:r>
          </w:p>
        </w:tc>
        <w:tc>
          <w:tcPr>
            <w:tcW w:w="4000" w:type="dxa"/>
          </w:tcPr>
          <w:p>
            <w:r>
              <w:rPr>
                <w:rFonts w:ascii="Arial" w:hAnsi="Arial" w:cs="Arial"/>
                <w:sz w:val="20"/>
                <w:szCs w:val="20"/>
              </w:rPr>
              <w:t>Nonlinear curvature: decelerating risk at older ages</w:t>
            </w:r>
          </w:p>
        </w:tc>
      </w:tr>
      <w:tr>
        <w:tc>
          <w:tcPr>
            <w:tcW w:w="3600" w:type="dxa"/>
            <w:shd w:val="clear" w:fill="EBF3FB"/>
          </w:tcPr>
          <w:p>
            <w:r>
              <w:rPr>
                <w:rFonts w:ascii="Arial" w:hAnsi="Arial" w:cs="Arial"/>
                <w:sz w:val="20"/>
                <w:szCs w:val="20"/>
              </w:rPr>
              <w:t>age_rcs2 (spline basis 2)</w:t>
            </w:r>
          </w:p>
        </w:tc>
        <w:tc>
          <w:tcPr>
            <w:tcW w:w="1760" w:type="dxa"/>
            <w:shd w:val="clear" w:fill="EBF3FB"/>
          </w:tcPr>
          <w:p>
            <w:pPr>
              <w:jc w:val="center"/>
            </w:pPr>
            <w:r>
              <w:rPr>
                <w:rFonts w:ascii="Arial" w:hAnsi="Arial" w:cs="Arial"/>
                <w:sz w:val="20"/>
                <w:szCs w:val="20"/>
              </w:rPr>
              <w:t>−0.045</w:t>
            </w:r>
          </w:p>
        </w:tc>
        <w:tc>
          <w:tcPr>
            <w:tcW w:w="4000" w:type="dxa"/>
            <w:shd w:val="clear" w:fill="EBF3FB"/>
          </w:tcPr>
          <w:p>
            <w:r>
              <w:rPr>
                <w:rFonts w:ascii="Arial" w:hAnsi="Arial" w:cs="Arial"/>
                <w:sz w:val="20"/>
                <w:szCs w:val="20"/>
              </w:rPr>
              <w:t>Higher-order curvature (small effect)</w:t>
            </w:r>
          </w:p>
        </w:tc>
      </w:tr>
      <w:tr>
        <w:tc>
          <w:tcPr>
            <w:tcW w:w="3600" w:type="dxa"/>
          </w:tcPr>
          <w:p>
            <w:r>
              <w:rPr>
                <w:rFonts w:ascii="Arial" w:hAnsi="Arial" w:cs="Arial"/>
                <w:b/>
                <w:sz w:val="20"/>
                <w:szCs w:val="20"/>
              </w:rPr>
              <w:t>male × age_rcs1 (interaction term 1)</w:t>
            </w:r>
          </w:p>
        </w:tc>
        <w:tc>
          <w:tcPr>
            <w:tcW w:w="1760" w:type="dxa"/>
          </w:tcPr>
          <w:p>
            <w:pPr>
              <w:jc w:val="center"/>
            </w:pPr>
            <w:r>
              <w:rPr>
                <w:rFonts w:ascii="Arial" w:hAnsi="Arial" w:cs="Arial"/>
                <w:b/>
                <w:sz w:val="20"/>
                <w:szCs w:val="20"/>
              </w:rPr>
              <w:t>−0.527</w:t>
            </w:r>
          </w:p>
        </w:tc>
        <w:tc>
          <w:tcPr>
            <w:tcW w:w="4000" w:type="dxa"/>
          </w:tcPr>
          <w:p>
            <w:r>
              <w:rPr>
                <w:rFonts w:ascii="Arial" w:hAnsi="Arial" w:cs="Arial"/>
                <w:b/>
                <w:sz w:val="20"/>
                <w:szCs w:val="20"/>
              </w:rPr>
              <w:t>Sex modifies age curve — primary interaction (largest |coef|, survives regularization)</w:t>
            </w:r>
          </w:p>
        </w:tc>
      </w:tr>
      <w:tr>
        <w:tc>
          <w:tcPr>
            <w:tcW w:w="3600" w:type="dxa"/>
            <w:shd w:val="clear" w:fill="EBF3FB"/>
          </w:tcPr>
          <w:p>
            <w:r>
              <w:rPr>
                <w:rFonts w:ascii="Arial" w:hAnsi="Arial" w:cs="Arial"/>
                <w:b/>
                <w:sz w:val="20"/>
                <w:szCs w:val="20"/>
              </w:rPr>
              <w:t>male × age_rcs2 (interaction term 2)</w:t>
            </w:r>
          </w:p>
        </w:tc>
        <w:tc>
          <w:tcPr>
            <w:tcW w:w="1760" w:type="dxa"/>
            <w:shd w:val="clear" w:fill="EBF3FB"/>
          </w:tcPr>
          <w:p>
            <w:pPr>
              <w:jc w:val="center"/>
            </w:pPr>
            <w:r>
              <w:rPr>
                <w:rFonts w:ascii="Arial" w:hAnsi="Arial" w:cs="Arial"/>
                <w:b/>
                <w:sz w:val="20"/>
                <w:szCs w:val="20"/>
              </w:rPr>
              <w:t>+0.377</w:t>
            </w:r>
          </w:p>
        </w:tc>
        <w:tc>
          <w:tcPr>
            <w:tcW w:w="4000" w:type="dxa"/>
            <w:shd w:val="clear" w:fill="EBF3FB"/>
          </w:tcPr>
          <w:p>
            <w:r>
              <w:rPr>
                <w:rFonts w:ascii="Arial" w:hAnsi="Arial" w:cs="Arial"/>
                <w:b/>
                <w:sz w:val="20"/>
                <w:szCs w:val="20"/>
              </w:rPr>
              <w:t>Sex modifies age curve — secondary interaction</w:t>
            </w:r>
          </w:p>
        </w:tc>
      </w:tr>
    </w:tbl>
    <w:p>
      <w:pPr>
        <w:spacing w:before="200" w:after="160"/>
      </w:pPr>
      <w:r>
        <w:rPr>
          <w:rFonts w:ascii="Arial" w:hAnsi="Arial" w:cs="Arial"/>
          <w:sz w:val="22"/>
          <w:szCs w:val="22"/>
        </w:rPr>
        <w:t xml:space="preserve">The interaction coefficients (male × age_rcs1 = −0.527, male × age_rcs2 = +0.377) are among the largest in the model, confirming a meaningful nonlinear age × sex interaction that survives Elastic Net regularization. The opposing signs indicate that the male-specific age curve has a different shape than the female curve: the negative rcs1 interaction dampens the male age-risk curve at intermediate ages, while the positive rcs2 term increases it at higher ages — consistent with the paper’s primary finding that sex modifies the age-related AKI risk trajectory.</w:t>
      </w:r>
    </w:p>
    <w:p>
      <w:pPr>
        <w:spacing w:after="160"/>
      </w:pPr>
      <w:r>
        <w:rPr>
          <w:rFonts w:ascii="Arial" w:hAnsi="Arial" w:cs="Arial"/>
          <w:sz w:val="22"/>
          <w:szCs w:val="22"/>
        </w:rPr>
        <w:t xml:space="preserve">The baseline age linear coefficient (+0.688) confirms the expected positive association between age and AKI risk. The negative spline term (age_rcs1 = −0.292) indicates that the marginal risk increase per year decelerates at older ages — biologically plausible given competing comorbidities and mortality selection at advanced ages.</w:t>
      </w:r>
    </w:p>
    <w:p>
      <w:pPr>
        <w:pStyle w:val="Heading2"/>
        <w:spacing w:before="280" w:after="120"/>
      </w:pPr>
      <w:r>
        <w:rPr>
          <w:rFonts w:ascii="Arial" w:hAnsi="Arial" w:cs="Arial"/>
          <w:b/>
          <w:color w:val="2E74B5"/>
          <w:sz w:val="24"/>
          <w:szCs w:val="24"/>
        </w:rPr>
        <w:t>4. Conclusion</w:t>
      </w:r>
    </w:p>
    <w:p>
      <w:pPr>
        <w:spacing w:after="160"/>
      </w:pPr>
      <w:r>
        <w:rPr>
          <w:rFonts w:ascii="Arial" w:hAnsi="Arial" w:cs="Arial"/>
          <w:sz w:val="22"/>
          <w:szCs w:val="22"/>
        </w:rPr>
        <w:t xml:space="preserve">Replacing the linear age term with restricted cubic splines and adding age × sex interaction terms provides formal statistical evidence that the age-AKI risk relationship is nonlinear and differs between males and females. The interaction terms survive Elastic Net regularization and rank among the strongest coefficients in the model. The RCS specification yields a modest AUROC improvement on the test set (0.877 vs. 0.870), and the results directly address the reviewer request for formal modeling of the age × sex interaction, reinforcing the H-statistic-based interaction findings reported in the main paper.</w:t>
      </w:r>
    </w:p>
    <w:p>
      <w:pPr>
        <w:pStyle w:val="Heading2"/>
        <w:spacing w:before="280" w:after="120"/>
      </w:pPr>
      <w:r>
        <w:rPr>
          <w:rFonts w:ascii="Arial" w:hAnsi="Arial" w:cs="Arial"/>
          <w:b/>
          <w:color w:val="2E74B5"/>
          <w:sz w:val="24"/>
          <w:szCs w:val="24"/>
        </w:rPr>
        <w:t>5. Files</w:t>
      </w:r>
    </w:p>
    <w:p>
      <w:pPr>
        <w:spacing w:after="80"/>
      </w:pPr>
      <w:r>
        <w:rPr>
          <w:rFonts w:ascii="Arial" w:hAnsi="Arial" w:cs="Arial"/>
          <w:sz w:val="22"/>
          <w:szCs w:val="22"/>
        </w:rPr>
        <w:t>All outputs in age_sex_rcs/:</w:t>
      </w:r>
    </w:p>
    <w:p>
      <w:pPr>
        <w:spacing w:after="60"/>
        <w:ind w:left="360"/>
      </w:pPr>
      <w:r>
        <w:rPr>
          <w:rFonts w:ascii="Arial" w:hAnsi="Arial" w:cs="Arial"/>
          <w:sz w:val="20"/>
          <w:szCs w:val="20"/>
        </w:rPr>
        <w:t>rcs_logreg.py — training script (Harrell RCS, interaction terms, MIMIC-III eval)</w:t>
      </w:r>
    </w:p>
    <w:p>
      <w:pPr>
        <w:spacing w:after="60"/>
        <w:ind w:left="360"/>
      </w:pPr>
      <w:r>
        <w:rPr>
          <w:rFonts w:ascii="Arial" w:hAnsi="Arial" w:cs="Arial"/>
          <w:sz w:val="20"/>
          <w:szCs w:val="20"/>
        </w:rPr>
        <w:t>run_age_sex_rcs.sh — run script</w:t>
      </w:r>
    </w:p>
    <w:p>
      <w:pPr>
        <w:spacing w:after="60"/>
        <w:ind w:left="360"/>
      </w:pPr>
      <w:r>
        <w:rPr>
          <w:rFonts w:ascii="Arial" w:hAnsi="Arial" w:cs="Arial"/>
          <w:sz w:val="20"/>
          <w:szCs w:val="20"/>
        </w:rPr>
        <w:t>artifacts/rcs_metrics.json — AUROC/AUPRC per split</w:t>
      </w:r>
    </w:p>
    <w:p>
      <w:pPr>
        <w:spacing w:after="60"/>
        <w:ind w:left="360"/>
      </w:pPr>
      <w:r>
        <w:rPr>
          <w:rFonts w:ascii="Arial" w:hAnsi="Arial" w:cs="Arial"/>
          <w:sz w:val="20"/>
          <w:szCs w:val="20"/>
        </w:rPr>
        <w:t>artifacts/rcs_coefficients.csv — all model coefficients sorted by |magnitude|</w:t>
      </w:r>
    </w:p>
    <w:p>
      <w:pPr>
        <w:spacing w:after="60"/>
        <w:ind w:left="360"/>
      </w:pPr>
      <w:r>
        <w:rPr>
          <w:rFonts w:ascii="Arial" w:hAnsi="Arial" w:cs="Arial"/>
          <w:sz w:val="20"/>
          <w:szCs w:val="20"/>
        </w:rPr>
        <w:t>artifacts/rcs_predictions.csv — test set predictions</w:t>
      </w:r>
    </w:p>
    <w:sectPr>
      <w:pgSz w:w="12240" w:h="15840"/>
      <w:pgMar w:top="1440" w:right="1440" w:bottom="1440" w:left="1440" w:header="720" w:footer="720"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outlineLvl w:val="0"/>
    </w:pPr>
    <w:rPr>
      <w:rFonts w:ascii="Arial" w:cs="Arial" w:eastAsia="Arial" w:hAnsi="Arial"/>
      <w:b/>
      <w:bCs/>
      <w:color w:val="1F3864"/>
      <w:sz w:val="28"/>
      <w:szCs w:val="28"/>
    </w:rPr>
  </w:style>
  <w:style w:type="paragraph" w:styleId="Heading2">
    <w:name w:val="Heading 2"/>
    <w:basedOn w:val="Normal"/>
    <w:next w:val="Normal"/>
    <w:pPr>
      <w:spacing w:after="120" w:before="28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2026-06-04T02:40:16.880Z</dcterms:created>
  <dcterms:modified xsi:type="dcterms:W3CDTF">2026-06-04T02:40:16.881Z</dcterms:modified>
</cp:coreProperties>
</file>

<file path=docProps/custom.xml><?xml version="1.0" encoding="utf-8"?>
<Properties xmlns="http://schemas.openxmlformats.org/officeDocument/2006/custom-properties" xmlns:vt="http://schemas.openxmlformats.org/officeDocument/2006/docPropsVTypes"/>
</file>