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Sensitivity Analyses — Previous-Round Data and Models</w:t>
      </w:r>
    </w:p>
    <w:p>
      <w:pPr>
        <w:pBdr>
          <w:bottom w:val="single" w:color="2E5F8A" w:sz="6" w:space="1"/>
        </w:pBdr>
        <w:spacing w:after="2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AKI Prediction MIMIC Study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These sensitivity analyses replicate the four pre-registered robustness checks using the previous-round aki-analysis dataset and model configurations, saved separately to allow comparison with the primary sensitivity results. Data source: ~/coding/aki-analysis (n=250,492 admissions; MIMIC-IV AKI n=40,392, MIMIC-III AKI n=9,109). All scripts and artifacts are in sensitivity_paper_version/.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5F8A"/>
          <w:sz w:val="28"/>
          <w:szCs w:val="28"/>
        </w:rPr>
        <w:t xml:space="preserve">1. Autocar Exclusion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Auto accident and trauma admissions (is_autocar=1) were excluded from the cohort (n=86,443 excluded, n=164,049 retained). All six AKI prediction models were retrained on the filtered cohort. This tests whether the inclusion of trauma-related AKI admissions drives model performance.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00"/>
        <w:gridCol w:w="1200"/>
        <w:gridCol w:w="1900"/>
        <w:gridCol w:w="1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AUROC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vs primary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MIMIC-III AUROC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vs primary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XGBoost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−0.0034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0.7782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−0.0288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Self-Attention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0.9109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+0.0039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0.7876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+0.0546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DNN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−0.0029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0.7210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+0.0110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0.8984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+0.0124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0.7216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−0.0664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DCN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0.8792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−0.0228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0.6954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+0.0014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Logistic Reg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+0.0021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0.7518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−0.0192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Interpretation: All AUROC differences are ≤0.023 on the test set. Model rankings are fully preserved. Results confirm stability of AKI prediction models to autocar exclusion.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5F8A"/>
          <w:sz w:val="28"/>
          <w:szCs w:val="28"/>
        </w:rPr>
        <w:t xml:space="preserve">2. Age × Sex Restricted Cubic Splines (RCS)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Elastic Net logistic regression was re-fit replacing the linear age term with restricted cubic splines (4 knots at 5th/35th/65th/95th age percentiles) and adding male×spline interaction terms. Uses aki-analysis features.</w:t>
      </w:r>
    </w:p>
    <w:p>
      <w:pPr>
        <w:spacing w:after="1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 AUROC: </w:t>
      </w:r>
      <w:r>
        <w:rPr>
          <w:rFonts w:ascii="Arial" w:cs="Arial" w:eastAsia="Arial" w:hAnsi="Arial"/>
          <w:sz w:val="20"/>
          <w:szCs w:val="20"/>
        </w:rPr>
        <w:t xml:space="preserve">0.8768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(vs primary linear: 0.870 — marginal improvement)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MIMIC-III AUROC: </w:t>
      </w:r>
      <w:r>
        <w:rPr>
          <w:rFonts w:ascii="Arial" w:cs="Arial" w:eastAsia="Arial" w:hAnsi="Arial"/>
          <w:sz w:val="20"/>
          <w:szCs w:val="20"/>
        </w:rPr>
        <w:t xml:space="preserve">0.7565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Interpretation: Male×RCS interaction terms survive regularization, confirming that the non-linear age-risk curve differs by sex. The marginal AUROC improvement over the linear model is consistent with the primary sensitivity result.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5F8A"/>
          <w:sz w:val="28"/>
          <w:szCs w:val="28"/>
        </w:rPr>
        <w:t xml:space="preserve">3. CKD Definition (Lab-based eGFR)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ICD-code CKD was replaced with lab-based CKD using the 2021 race-free CKD-EPI equation. Lab-CKD criteria: eGFR &lt;60 on two measurements ≥90 days apart, both ≥90 days post-AKI discharge. Events: 5,741 lab-CKD, 10,329 deaths, 33,431 censored.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Split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C-index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0.5689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0.5590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0.5548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Primary ICD-based: 0.621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MIMIC-III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0.5337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Primary ICD-based: 0.467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Interpretation: Lab-CKD models underperform ICD-based as expected — 58–77% of patients lack sufficient post-AKI creatinine follow-up. MIMIC-III improves slightly (0.467 → 0.534), consistent with the primary sensitivity finding that ICD coding undercounts CKD in the smaller cohort.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5F8A"/>
          <w:sz w:val="28"/>
          <w:szCs w:val="28"/>
        </w:rPr>
        <w:t xml:space="preserve">4. AKI Timing (KDIGO Onset)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Post-AKI survival time was re-anchored to the first in-admission creatinine timestamp meeting KDIGO criteria, rather than the admission date. Median survival time shift: 18.0 days (admission-anchored) → 15.2 days (KDIGO-anchored).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Split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C-index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CKD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0.6393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CKD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MIMIC-III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0.5003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Death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0.6251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Death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MIMIC-III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0.5284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Interpretation: Results closely match the admission-anchored primary analysis. No metric reversals. KDIGO re-anchoring does not materially change survival model performance.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2E5F8A"/>
          <w:sz w:val="28"/>
          <w:szCs w:val="28"/>
        </w:rPr>
        <w:t xml:space="preserve">Scripts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sensitivity_paper_version/autocar/run.sh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Autocar exclusion — retrain all 6 AKI models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sensitivity_paper_version/ckd_definition/run.sh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Lab-CKD events + XGBoost CoxPH survival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sensitivity_paper_version/aki_timing/run.sh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KDIGO onset timing + survival models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sensitivity_paper_version/age_sex_rcs/run.sh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RCS elastic net logistic regression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sensitivity_paper_version/run_all.sh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Master script — runs all four analyses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Run from the project root: bash sensitivity_paper_version/run_all.sh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2E5F8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3A5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2026-06-19T01:52:18.629Z</dcterms:created>
  <dcterms:modified xsi:type="dcterms:W3CDTF">2026-06-19T01:52:18.632Z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