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3864"/>
          <w:sz w:val="28"/>
          <w:szCs w:val="28"/>
        </w:rPr>
        <w:t xml:space="preserve">AKI Timing Sensitivity Analysis</w:t>
      </w:r>
    </w:p>
    <w:p>
      <w:pPr>
        <w:spacing w:after="160"/>
      </w:pPr>
      <w:r>
        <w:rPr>
          <w:rFonts w:ascii="Arial" w:cs="Arial" w:eastAsia="Arial" w:hAnsi="Arial"/>
          <w:i/>
          <w:iCs/>
          <w:color w:val="555555"/>
          <w:sz w:val="22"/>
          <w:szCs w:val="22"/>
        </w:rPr>
        <w:t xml:space="preserve">Document purpose: Record the rationale, implementation, and results of the AKI timing sensitivity analysis — re-anchoring post-AKI survival models to KDIGO creatinine onset time instead of hospital admission time.</w:t>
      </w:r>
    </w:p>
    <w:p>
      <w:pPr>
        <w:pStyle w:val="Heading2"/>
        <w:spacing w:after="120" w:before="280"/>
      </w:pPr>
      <w:r>
        <w:rPr>
          <w:rFonts w:ascii="Arial" w:cs="Arial" w:eastAsia="Arial" w:hAnsi="Arial"/>
          <w:b/>
          <w:bCs/>
          <w:color w:val="2E74B5"/>
          <w:sz w:val="24"/>
          <w:szCs w:val="24"/>
        </w:rPr>
        <w:t xml:space="preserve">1. Background and Motivation</w:t>
      </w:r>
    </w:p>
    <w:p>
      <w:pPr>
        <w:spacing w:after="160"/>
      </w:pPr>
      <w:r>
        <w:rPr>
          <w:rFonts w:ascii="Arial" w:cs="Arial" w:eastAsia="Arial" w:hAnsi="Arial"/>
          <w:sz w:val="22"/>
          <w:szCs w:val="22"/>
        </w:rPr>
        <w:t xml:space="preserve">In the primary analysis, AKI is anchored to hospital admission time (admittime). AKI may not develop until hours or days after admission, creating two potential biases:</w:t>
      </w:r>
    </w:p>
    <w:p>
      <w:pPr>
        <w:spacing w:after="80"/>
        <w:ind w:left="720" w:hanging="360"/>
      </w:pPr>
      <w:r>
        <w:rPr>
          <w:rFonts w:ascii="Arial" w:cs="Arial" w:eastAsia="Arial" w:hAnsi="Arial"/>
          <w:sz w:val="22"/>
          <w:szCs w:val="22"/>
        </w:rPr>
        <w:t xml:space="preserve">•  Immortal-time bias: time between admission and actual AKI onset is treated as post-AKI observation, potentially inflating time-to-event estimates for CKD and death.</w:t>
      </w:r>
    </w:p>
    <w:p>
      <w:pPr>
        <w:spacing w:after="80"/>
        <w:ind w:left="720" w:hanging="360"/>
      </w:pPr>
      <w:r>
        <w:rPr>
          <w:rFonts w:ascii="Arial" w:cs="Arial" w:eastAsia="Arial" w:hAnsi="Arial"/>
          <w:sz w:val="22"/>
          <w:szCs w:val="22"/>
        </w:rPr>
        <w:t xml:space="preserve">•  AKI timestamp bias: associations between pre-admission features and post-AKI outcomes may be attenuated if the true AKI onset is displaced from the admission anchor.</w:t>
      </w:r>
    </w:p>
    <w:p>
      <w:pPr>
        <w:spacing w:after="160"/>
      </w:pPr>
      <w:r>
        <w:rPr>
          <w:rFonts w:ascii="Arial" w:cs="Arial" w:eastAsia="Arial" w:hAnsi="Arial"/>
          <w:sz w:val="22"/>
          <w:szCs w:val="22"/>
        </w:rPr>
        <w:t xml:space="preserve">The KDIGO creatinine criteria (serum creatinine ≥0.3 mg/dL within 48h, or ≥1.5× baseline within 7 days) provide an objective, lab-based estimate of AKI onset timing. Using the first time these criteria are met during the hospitalization as the index time is a natural sensitivity check.</w:t>
      </w:r>
    </w:p>
    <w:p>
      <w:pPr>
        <w:pStyle w:val="Heading2"/>
        <w:spacing w:after="120" w:before="280"/>
      </w:pPr>
      <w:r>
        <w:rPr>
          <w:rFonts w:ascii="Arial" w:cs="Arial" w:eastAsia="Arial" w:hAnsi="Arial"/>
          <w:b/>
          <w:bCs/>
          <w:color w:val="2E74B5"/>
          <w:sz w:val="24"/>
          <w:szCs w:val="24"/>
        </w:rPr>
        <w:t xml:space="preserve">2. Scope: Survival Models Only, Not the AKI Prediction Model</w:t>
      </w:r>
    </w:p>
    <w:p>
      <w:pPr>
        <w:spacing w:after="160"/>
      </w:pPr>
      <w:r>
        <w:rPr>
          <w:rFonts w:ascii="Arial" w:cs="Arial" w:eastAsia="Arial" w:hAnsi="Arial"/>
          <w:sz w:val="22"/>
          <w:szCs w:val="22"/>
        </w:rPr>
        <w:t xml:space="preserve">This sensitivity applies only to post-AKI survival models (time-to-CKD, time-to-death). The AKI prediction model remains admission-anchored for two reasons:</w:t>
      </w:r>
    </w:p>
    <w:p>
      <w:pPr>
        <w:spacing w:after="80"/>
        <w:ind w:left="720" w:hanging="360"/>
      </w:pPr>
      <w:r>
        <w:rPr>
          <w:rFonts w:ascii="Arial" w:cs="Arial" w:eastAsia="Arial" w:hAnsi="Arial"/>
          <w:sz w:val="22"/>
          <w:szCs w:val="22"/>
        </w:rPr>
        <w:t xml:space="preserve">•  Feature leakage: shifting the index inside the admission would make labs and vitals measured between admittime and KDIGO onset available as predictors, contaminating them with information from early AKI development.</w:t>
      </w:r>
    </w:p>
    <w:p>
      <w:pPr>
        <w:spacing w:after="80"/>
        <w:ind w:left="720" w:hanging="360"/>
      </w:pPr>
      <w:r>
        <w:rPr>
          <w:rFonts w:ascii="Arial" w:cs="Arial" w:eastAsia="Arial" w:hAnsi="Arial"/>
          <w:sz w:val="22"/>
          <w:szCs w:val="22"/>
        </w:rPr>
        <w:t xml:space="preserve">•  Task redefinition: the prediction model answers 'will AKI occur at admission?' — shifting to KDIGO onset changes it to 'does AKI already exist?', a less clinically actionable question.</w:t>
      </w:r>
    </w:p>
    <w:p>
      <w:pPr>
        <w:spacing w:after="160"/>
      </w:pPr>
      <w:r>
        <w:rPr>
          <w:rFonts w:ascii="Arial" w:cs="Arial" w:eastAsia="Arial" w:hAnsi="Arial"/>
          <w:sz w:val="22"/>
          <w:szCs w:val="22"/>
        </w:rPr>
        <w:t xml:space="preserve">For survival models, the index time directly determines time-to-event accuracy and should reflect when AKI actually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Onset Timing Applied?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AKI prediction models (logistic, RF, XGBoost, DNN, DCN, Transformer)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admission anchoring correct by design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Post-AKI CKD survival model (XGBoost CoxPH)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first KDIGO creatinine event as index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Post-AKI death survival model (XGBoost CoxPH)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first KDIGO creatinine event as index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engineering windows (labs, vitals, fluids)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windows remain anchored to admittime</w:t>
            </w:r>
          </w:p>
        </w:tc>
      </w:tr>
    </w:tbl>
    <w:p>
      <w:pPr>
        <w:pStyle w:val="Heading2"/>
        <w:spacing w:after="120" w:before="280"/>
      </w:pPr>
      <w:r>
        <w:rPr>
          <w:rFonts w:ascii="Arial" w:cs="Arial" w:eastAsia="Arial" w:hAnsi="Arial"/>
          <w:b/>
          <w:bCs/>
          <w:color w:val="2E74B5"/>
          <w:sz w:val="24"/>
          <w:szCs w:val="24"/>
        </w:rPr>
        <w:t xml:space="preserve">3. KDIGO Onset Detection Results</w:t>
      </w:r>
    </w:p>
    <w:p>
      <w:pPr>
        <w:spacing w:after="160"/>
      </w:pPr>
      <w:r>
        <w:rPr>
          <w:rFonts w:ascii="Arial" w:cs="Arial" w:eastAsia="Arial" w:hAnsi="Arial"/>
          <w:sz w:val="22"/>
          <w:szCs w:val="22"/>
        </w:rPr>
        <w:t xml:space="preserve">Script: aki_timing_sensitivity/kdigo_onset_timing.py. Run date: 2026-06-02. Input: target.parquet (keepautocar, 49,501 AKI admissions). Creatinine lab events: 5,254,948.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3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MIMIC-III</w:t>
            </w:r>
          </w:p>
        </w:tc>
        <w:tc>
          <w:tcPr>
            <w:tcW w:type="dxa" w:w="23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MIMIC-IV</w:t>
            </w:r>
          </w:p>
        </w:tc>
        <w:tc>
          <w:tcPr>
            <w:tcW w:type="dxa" w:w="23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Combined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AKI admissions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9,014</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39,667</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48,681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KDIGO onset found</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6,111 (67.8%)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20,526 (51.8%)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26,637 (54.7%)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hours to onset</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35.9h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38.6h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38.0h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Onset within 24h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26.2%</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Onset within 48h</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29.3%</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160"/>
      </w:pPr>
      <w:r>
        <w:rPr>
          <w:rFonts w:ascii="Arial" w:cs="Arial" w:eastAsia="Arial" w:hAnsi="Arial"/>
          <w:sz w:val="22"/>
          <w:szCs w:val="22"/>
        </w:rPr>
        <w:t xml:space="preserve"/>
      </w:r>
    </w:p>
    <w:p>
      <w:pPr>
        <w:spacing w:after="80"/>
        <w:ind w:left="720" w:hanging="360"/>
      </w:pPr>
      <w:r>
        <w:rPr>
          <w:rFonts w:ascii="Arial" w:cs="Arial" w:eastAsia="Arial" w:hAnsi="Arial"/>
          <w:sz w:val="22"/>
          <w:szCs w:val="22"/>
        </w:rPr>
        <w:t xml:space="preserve">•  54.7% of ICD-coded AKI admissions had KDIGO criteria confirmed in-admission labs. The remaining 45.3% reflect sparse or missing creatinine data, or ICD-coded AKI without lab confirmation.</w:t>
      </w:r>
    </w:p>
    <w:p>
      <w:pPr>
        <w:spacing w:after="80"/>
        <w:ind w:left="720" w:hanging="360"/>
      </w:pPr>
      <w:r>
        <w:rPr>
          <w:rFonts w:ascii="Arial" w:cs="Arial" w:eastAsia="Arial" w:hAnsi="Arial"/>
          <w:sz w:val="22"/>
          <w:szCs w:val="22"/>
        </w:rPr>
        <w:t xml:space="preserve">•  MIMIC-III coverage higher (67.8%) reflecting ICU-only intensive monitoring.</w:t>
      </w:r>
    </w:p>
    <w:p>
      <w:pPr>
        <w:spacing w:after="80"/>
        <w:ind w:left="720" w:hanging="360"/>
      </w:pPr>
      <w:r>
        <w:rPr>
          <w:rFonts w:ascii="Arial" w:cs="Arial" w:eastAsia="Arial" w:hAnsi="Arial"/>
          <w:sz w:val="22"/>
          <w:szCs w:val="22"/>
        </w:rPr>
        <w:t xml:space="preserve">•  Median onset at 38h — most AKI develops in the first two days but with a long right tail.</w:t>
      </w:r>
    </w:p>
    <w:p>
      <w:pPr>
        <w:pStyle w:val="Heading2"/>
        <w:spacing w:after="120" w:before="280"/>
      </w:pPr>
      <w:r>
        <w:rPr>
          <w:rFonts w:ascii="Arial" w:cs="Arial" w:eastAsia="Arial" w:hAnsi="Arial"/>
          <w:b/>
          <w:bCs/>
          <w:color w:val="2E74B5"/>
          <w:sz w:val="24"/>
          <w:szCs w:val="24"/>
        </w:rPr>
        <w:t xml:space="preserve">4. Impact on Survival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17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Original median (d)</w:t>
            </w:r>
          </w:p>
        </w:tc>
        <w:tc>
          <w:tcPr>
            <w:tcW w:type="dxa" w:w="17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median (d)</w:t>
            </w:r>
          </w:p>
        </w:tc>
        <w:tc>
          <w:tcPr>
            <w:tcW w:type="dxa" w:w="17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Shift (d)</w:t>
            </w:r>
          </w:p>
        </w:tc>
        <w:tc>
          <w:tcPr>
            <w:tcW w:type="dxa" w:w="17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 shift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CKD</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199.0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PostCKD/ESRD</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161.0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159.7</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Death</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Censored</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r>
    </w:tbl>
    <w:p>
      <w:pPr>
        <w:spacing w:after="160"/>
      </w:pPr>
      <w:r>
        <w:rPr>
          <w:rFonts w:ascii="Arial" w:cs="Arial" w:eastAsia="Arial" w:hAnsi="Arial"/>
          <w:sz w:val="22"/>
          <w:szCs w:val="22"/>
        </w:rPr>
        <w:t xml:space="preserve"/>
      </w:r>
    </w:p>
    <w:p>
      <w:pPr>
        <w:spacing w:after="80"/>
        <w:ind w:left="720" w:hanging="360"/>
      </w:pPr>
      <w:r>
        <w:rPr>
          <w:rFonts w:ascii="Arial" w:cs="Arial" w:eastAsia="Arial" w:hAnsi="Arial"/>
          <w:sz w:val="22"/>
          <w:szCs w:val="22"/>
        </w:rPr>
        <w:t xml:space="preserve">•  Time-to-CKD shifts by ~1 day — negligible relative to the outcome timescale of months to years.</w:t>
      </w:r>
    </w:p>
    <w:p>
      <w:pPr>
        <w:spacing w:after="80"/>
        <w:ind w:left="720" w:hanging="360"/>
      </w:pPr>
      <w:r>
        <w:rPr>
          <w:rFonts w:ascii="Arial" w:cs="Arial" w:eastAsia="Arial" w:hAnsi="Arial"/>
          <w:sz w:val="22"/>
          <w:szCs w:val="22"/>
        </w:rPr>
        <w:t xml:space="preserve">•  Time-to-death shifts by 2.7 days (27%) — proportionally larger but small in absolute terms. Death follows AKI rapidly so even a small absolute shift is noticeable relatively.</w:t>
      </w:r>
    </w:p>
    <w:p>
      <w:pPr>
        <w:spacing w:after="80"/>
        <w:ind w:left="720" w:hanging="360"/>
      </w:pPr>
      <w:r>
        <w:rPr>
          <w:rFonts w:ascii="Arial" w:cs="Arial" w:eastAsia="Arial" w:hAnsi="Arial"/>
          <w:sz w:val="22"/>
          <w:szCs w:val="22"/>
        </w:rPr>
        <w:t xml:space="preserve">•  For the 45.3% of admissions without a confirmed KDIGO onset, time-to-event is unchanged, attenuating the overall effect.</w:t>
      </w:r>
    </w:p>
    <w:p>
      <w:pPr>
        <w:pStyle w:val="Heading2"/>
        <w:spacing w:after="120" w:before="280"/>
      </w:pPr>
      <w:r>
        <w:rPr>
          <w:rFonts w:ascii="Arial" w:cs="Arial" w:eastAsia="Arial" w:hAnsi="Arial"/>
          <w:b/>
          <w:bCs/>
          <w:color w:val="2E74B5"/>
          <w:sz w:val="24"/>
          <w:szCs w:val="24"/>
        </w:rPr>
        <w:t xml:space="preserve">5. Model Performance: Primary vs. KDIGO-Anchored</w:t>
      </w:r>
    </w:p>
    <w:p>
      <w:pPr>
        <w:spacing w:after="160"/>
      </w:pPr>
      <w:r>
        <w:rPr>
          <w:rFonts w:ascii="Arial" w:cs="Arial" w:eastAsia="Arial" w:hAnsi="Arial"/>
          <w:sz w:val="22"/>
          <w:szCs w:val="22"/>
        </w:rPr>
        <w:t xml:space="preserve">Both models trained on MIMIC-IV (60/20/20 split) and externally validated on full MIMIC-III. Same features and hyperparameters in both runs; only time_days differs.</w:t>
      </w:r>
    </w:p>
    <w:p>
      <w:pPr>
        <w:spacing w:after="160"/>
      </w:pPr>
      <w:r>
        <w:rPr>
          <w:rFonts w:ascii="Arial" w:cs="Arial" w:eastAsia="Arial" w:hAnsi="Arial"/>
          <w:b/>
          <w:bCs/>
          <w:sz w:val="22"/>
          <w:szCs w:val="22"/>
        </w:rPr>
        <w:t xml:space="preserve">Table 3a. CKD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Primary C-idx</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C-idx</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Primary AUROC</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AUROC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0.655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0.671 (+0.016)</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0.762</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0.721 (−0.042)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0.640 (+0.020)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0.724</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0.673 (−0.052)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0.639 (+0.018)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0.732</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0.685 (−0.047)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MIMIC-III ext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0.467</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0.500 (+0.033)</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0.771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0.718 (−0.053)</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Table 3b. Death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Primary C-idx</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C-idx</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Primary AUROC</w:t>
            </w:r>
          </w:p>
        </w:tc>
        <w:tc>
          <w:tcPr>
            <w:tcW w:type="dxa" w:w="189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AUROC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0.668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0.683 (+0.015)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0.787</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0.809 (+0.021)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0.645 (+0.020)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0.790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0.818 (+0.028)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0.613</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0.625 (+0.012)</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0.758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0.780 (+0.022)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MIMIC-III ext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0.535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0.528 (−0.006)</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0.726 (+0.000)</w:t>
            </w:r>
          </w:p>
        </w:tc>
      </w:tr>
    </w:tbl>
    <w:p>
      <w:pPr>
        <w:pStyle w:val="Heading2"/>
        <w:spacing w:after="120" w:before="280"/>
      </w:pPr>
      <w:r>
        <w:rPr>
          <w:rFonts w:ascii="Arial" w:cs="Arial" w:eastAsia="Arial" w:hAnsi="Arial"/>
          <w:b/>
          <w:bCs/>
          <w:color w:val="2E74B5"/>
          <w:sz w:val="24"/>
          <w:szCs w:val="24"/>
        </w:rPr>
        <w:t xml:space="preserve">6. Interpretation and Conclusions</w:t>
      </w:r>
    </w:p>
    <w:p>
      <w:pPr>
        <w:spacing w:after="160"/>
      </w:pPr>
      <w:r>
        <w:rPr>
          <w:rFonts w:ascii="Arial" w:cs="Arial" w:eastAsia="Arial" w:hAnsi="Arial"/>
          <w:sz w:val="22"/>
          <w:szCs w:val="22"/>
        </w:rPr>
        <w:t xml:space="preserve">CKD model: KDIGO anchoring modestly improves C-index (+0.016–0.033) but slightly lowers AUROC at 365 days (−0.042–0.053). The C-index improvement reflects more precise time-to-event ranking. The AUROC drop occurs because shifting some CKD events just beyond the 365-day horizon reduces discriminability at that specific cutpoint — a methodological artifact of the fixed horizon rather than a true performance decline. MIMIC-III C-index near 0.50 in both runs confirms that CKD prediction does not transfer to MIMIC-III regardless of anchoring, consistent with the primary analysis.</w:t>
      </w:r>
    </w:p>
    <w:p>
      <w:pPr>
        <w:spacing w:after="160"/>
      </w:pPr>
      <w:r>
        <w:rPr>
          <w:rFonts w:ascii="Arial" w:cs="Arial" w:eastAsia="Arial" w:hAnsi="Arial"/>
          <w:sz w:val="22"/>
          <w:szCs w:val="22"/>
        </w:rPr>
        <w:t xml:space="preserve">Death model: KDIGO anchoring consistently improves both C-index (+0.012–0.020) and AUROC (+0.021–0.028) in MIMIC-IV, while MIMIC-III performance is essentially unchanged. More precise AKI onset timing sharpens time-to-death prediction, as expected when the outcome follows the index event closely.</w:t>
      </w:r>
    </w:p>
    <w:p>
      <w:pPr>
        <w:spacing w:after="160"/>
      </w:pPr>
      <w:r>
        <w:rPr>
          <w:rFonts w:ascii="Arial" w:cs="Arial" w:eastAsia="Arial" w:hAnsi="Arial"/>
          <w:sz w:val="22"/>
          <w:szCs w:val="22"/>
        </w:rPr>
        <w:t xml:space="preserve">Overall: both models show modest, directionally consistent changes under KDIGO anchoring. No metric reverses direction or changes substantially. This confirms that the primary findings are robust to the choice of AKI index time and that immortal-time bias from admission anchoring is minimal in this cohort.</w:t>
      </w:r>
    </w:p>
    <w:p>
      <w:pPr>
        <w:spacing w:after="160"/>
      </w:pPr>
      <w:r>
        <w:rPr>
          <w:rFonts w:ascii="Arial" w:cs="Arial" w:eastAsia="Arial" w:hAnsi="Arial"/>
          <w:sz w:val="22"/>
          <w:szCs w:val="22"/>
        </w:rPr>
        <w:t xml:space="preserve">For the revised manuscript, these results will be reported in the Sensitivity Analyses section with Tables 3a and 3b above.</w:t>
      </w:r>
    </w:p>
    <w:p>
      <w:pPr>
        <w:pStyle w:val="Heading2"/>
        <w:spacing w:after="120" w:before="280"/>
      </w:pPr>
      <w:r>
        <w:rPr>
          <w:rFonts w:ascii="Arial" w:cs="Arial" w:eastAsia="Arial" w:hAnsi="Arial"/>
          <w:b/>
          <w:bCs/>
          <w:color w:val="2E74B5"/>
          <w:sz w:val="24"/>
          <w:szCs w:val="24"/>
        </w:rPr>
        <w:t xml:space="preserve">7. Files in aki_timing_sensitivity/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aki_timing_sensitivity.docx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document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kdigo_onset_timing.py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Computes KDIGO onset times per AKI admission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run_aki_timing_sensitivity.sh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pipeline script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kdigo_onset_times.parquet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Per-admission onset time, hours to onset, baseline creatinine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kdigo_onset_summary.csv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By-version: coverage %, median hours, % within 24h/48h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incident_ckd_survival_kdigo.csv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Survival dataset re-anchored to KDIGO onset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features_ckd.parquet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matrix with KDIGO-anchored time_days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artifacts/xgb_ckd_kdigo.metrics.json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CKD survival model metrics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artifacts/xgb_death_kdigo.metrics.json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Death survival model metrics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outlineLvl w:val="0"/>
    </w:pPr>
    <w:rPr>
      <w:rFonts w:ascii="Arial" w:cs="Arial" w:eastAsia="Arial" w:hAnsi="Arial"/>
      <w:b/>
      <w:bCs/>
      <w:color w:val="1F3864"/>
      <w:sz w:val="28"/>
      <w:szCs w:val="28"/>
    </w:rPr>
  </w:style>
  <w:style w:type="paragraph" w:styleId="Heading2">
    <w:name w:val="Heading 2"/>
    <w:basedOn w:val="Normal"/>
    <w:next w:val="Normal"/>
    <w:pPr>
      <w:spacing w:after="120" w:before="2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2026-06-03T03:18:42.295Z</dcterms:created>
  <dcterms:modified xsi:type="dcterms:W3CDTF">2026-06-03T03:18:42.301Z</dcterms:modified>
</cp:coreProperties>
</file>

<file path=docProps/custom.xml><?xml version="1.0" encoding="utf-8"?>
<Properties xmlns="http://schemas.openxmlformats.org/officeDocument/2006/custom-properties" xmlns:vt="http://schemas.openxmlformats.org/officeDocument/2006/docPropsVTypes"/>
</file>