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Study Flow Diagram — Published (Paper)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Exclusions: prior CKD (ICD-9 585.1–585.9; ICD-10 N18.*), ESRD/dialysis dependence, kidney transplant, and primary AKI admissions (seq_num=1). Post-AKI outcomes require ≥90 days follow-up after index AKI admission. * MIMIC-IV: all admissions are adults by design. † MIMIC-IV in-hospital death capture is incomplete in the current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MIMIC-IV (Training)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MIMIC-III (Validation)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adult admissions (≥18 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= 546,028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adult admissions (≥18 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= 50,766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0000"/>
                <w:sz w:val="18"/>
                <w:szCs w:val="18"/>
              </w:rPr>
              <w:t xml:space="preserve">Exclude: prior CKD, ESRD/dialysis, kidney transplant, primary AKI (n = 346,206)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0000"/>
                <w:sz w:val="18"/>
                <w:szCs w:val="18"/>
              </w:rPr>
              <w:t xml:space="preserve">Exclude: prior CKD, ESRD/dialysis, kidney transplant, primary AKI (n = 16,585)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Eligible study cohort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= 199,822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Eligible study cohort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= 34,181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AKI: n = 26,184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AKI: n = 173,638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Excluded (repeat AKI / CKD-only / NA): n = 0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AKI: n = 6,828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AKI: n = 27,353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Excluded (repeat AKI / CKD-only / NA): n = 0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Post-AKI cohort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= 26,184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Post-AKI cohort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= 6,828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CKD (≥90d): n = 2,990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PostCKD/ESRD (≥90d): n = 188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Death (≥90d): n = 4,265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Censored: n = 18,741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CKD (≥90d): n = 113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PostCKD/ESRD (≥90d): n = 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Death (≥90d): n = 4,104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Censored: n = 2,588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2026-06-03T00:42:45.473Z</dcterms:created>
  <dcterms:modified xsi:type="dcterms:W3CDTF">2026-06-03T00:42:45.476Z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