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F3BF1" w14:textId="77777777" w:rsidR="008749B7" w:rsidRDefault="008749B7" w:rsidP="008749B7">
      <w:pPr>
        <w:rPr>
          <w:rFonts w:eastAsia="MS Mincho"/>
          <w:b/>
          <w:lang w:eastAsia="ja-JP"/>
        </w:rPr>
      </w:pPr>
      <w:r>
        <w:rPr>
          <w:rFonts w:eastAsiaTheme="minorEastAsia"/>
          <w:b/>
        </w:rPr>
        <w:t>Table 1: Percent of EMV Articles in Each Category, 1985-2017</w:t>
      </w:r>
    </w:p>
    <w:p w14:paraId="2ECB5FDF" w14:textId="77777777" w:rsidR="008749B7" w:rsidRDefault="008749B7" w:rsidP="008749B7">
      <w:pPr>
        <w:ind w:left="-630" w:firstLine="90"/>
        <w:rPr>
          <w:rFonts w:eastAsiaTheme="minorEastAsia"/>
          <w:b/>
          <w:sz w:val="10"/>
          <w:szCs w:val="10"/>
        </w:rPr>
      </w:pPr>
    </w:p>
    <w:tbl>
      <w:tblPr>
        <w:tblStyle w:val="TableGrid"/>
        <w:tblW w:w="9342" w:type="dxa"/>
        <w:tblLook w:val="04A0" w:firstRow="1" w:lastRow="0" w:firstColumn="1" w:lastColumn="0" w:noHBand="0" w:noVBand="1"/>
      </w:tblPr>
      <w:tblGrid>
        <w:gridCol w:w="4228"/>
        <w:gridCol w:w="1781"/>
        <w:gridCol w:w="1710"/>
        <w:gridCol w:w="1006"/>
        <w:gridCol w:w="617"/>
      </w:tblGrid>
      <w:tr w:rsidR="008749B7" w14:paraId="486BF13C" w14:textId="77777777" w:rsidTr="004200C6">
        <w:tc>
          <w:tcPr>
            <w:tcW w:w="4228" w:type="dxa"/>
            <w:tcBorders>
              <w:top w:val="double" w:sz="4" w:space="0" w:color="000000"/>
              <w:left w:val="nil"/>
              <w:right w:val="nil"/>
            </w:tcBorders>
            <w:shd w:val="clear" w:color="auto" w:fill="auto"/>
          </w:tcPr>
          <w:p w14:paraId="4B29C740" w14:textId="77777777" w:rsidR="008749B7" w:rsidRDefault="008749B7" w:rsidP="004200C6">
            <w:pPr>
              <w:tabs>
                <w:tab w:val="left" w:pos="7540"/>
              </w:tabs>
              <w:jc w:val="both"/>
              <w:rPr>
                <w:rFonts w:eastAsiaTheme="minorEastAsia"/>
                <w:b/>
              </w:rPr>
            </w:pPr>
            <w:r>
              <w:rPr>
                <w:rFonts w:eastAsiaTheme="minorEastAsia"/>
                <w:b/>
              </w:rPr>
              <w:t>Panel A. General Economic Categories</w:t>
            </w:r>
          </w:p>
        </w:tc>
        <w:tc>
          <w:tcPr>
            <w:tcW w:w="4497" w:type="dxa"/>
            <w:gridSpan w:val="3"/>
            <w:tcBorders>
              <w:top w:val="double" w:sz="4" w:space="0" w:color="000000"/>
              <w:left w:val="nil"/>
              <w:right w:val="nil"/>
            </w:tcBorders>
            <w:shd w:val="clear" w:color="auto" w:fill="auto"/>
          </w:tcPr>
          <w:p w14:paraId="1CCDC8E7" w14:textId="77777777" w:rsidR="008749B7" w:rsidRDefault="008749B7" w:rsidP="004200C6">
            <w:pPr>
              <w:tabs>
                <w:tab w:val="left" w:pos="7540"/>
              </w:tabs>
              <w:ind w:left="1602"/>
              <w:jc w:val="center"/>
              <w:rPr>
                <w:rFonts w:eastAsiaTheme="minorEastAsia"/>
                <w:b/>
              </w:rPr>
            </w:pPr>
            <w:r>
              <w:rPr>
                <w:rFonts w:eastAsiaTheme="minorEastAsia"/>
                <w:b/>
              </w:rPr>
              <w:t>Percent of EMV Articles</w:t>
            </w:r>
          </w:p>
        </w:tc>
        <w:tc>
          <w:tcPr>
            <w:tcW w:w="617" w:type="dxa"/>
            <w:tcBorders>
              <w:top w:val="double" w:sz="4" w:space="0" w:color="000000"/>
              <w:left w:val="nil"/>
              <w:right w:val="nil"/>
            </w:tcBorders>
            <w:shd w:val="clear" w:color="auto" w:fill="auto"/>
          </w:tcPr>
          <w:p w14:paraId="1DA119EA" w14:textId="77777777" w:rsidR="008749B7" w:rsidRDefault="008749B7" w:rsidP="004200C6">
            <w:pPr>
              <w:tabs>
                <w:tab w:val="left" w:pos="7540"/>
              </w:tabs>
              <w:ind w:firstLine="24"/>
              <w:jc w:val="both"/>
              <w:rPr>
                <w:rFonts w:eastAsiaTheme="minorEastAsia"/>
                <w:b/>
              </w:rPr>
            </w:pPr>
          </w:p>
        </w:tc>
      </w:tr>
      <w:tr w:rsidR="008749B7" w14:paraId="679230A5" w14:textId="77777777" w:rsidTr="004200C6">
        <w:tc>
          <w:tcPr>
            <w:tcW w:w="6009" w:type="dxa"/>
            <w:gridSpan w:val="2"/>
            <w:tcBorders>
              <w:top w:val="nil"/>
              <w:left w:val="nil"/>
              <w:bottom w:val="nil"/>
              <w:right w:val="nil"/>
            </w:tcBorders>
            <w:shd w:val="clear" w:color="auto" w:fill="auto"/>
          </w:tcPr>
          <w:p w14:paraId="701272B8" w14:textId="77777777" w:rsidR="008749B7" w:rsidRDefault="008749B7" w:rsidP="004200C6">
            <w:pPr>
              <w:rPr>
                <w:rFonts w:eastAsiaTheme="minorEastAsia"/>
              </w:rPr>
            </w:pPr>
            <w:r>
              <w:rPr>
                <w:rFonts w:eastAsiaTheme="minorEastAsia"/>
              </w:rPr>
              <w:t>Macroeconomic News and Outlook</w:t>
            </w:r>
          </w:p>
        </w:tc>
        <w:tc>
          <w:tcPr>
            <w:tcW w:w="1710" w:type="dxa"/>
            <w:tcBorders>
              <w:top w:val="nil"/>
              <w:left w:val="nil"/>
              <w:bottom w:val="nil"/>
              <w:right w:val="nil"/>
            </w:tcBorders>
            <w:shd w:val="clear" w:color="auto" w:fill="auto"/>
          </w:tcPr>
          <w:p w14:paraId="0EC7FA94" w14:textId="77777777" w:rsidR="008749B7" w:rsidRDefault="008749B7" w:rsidP="004200C6">
            <w:pPr>
              <w:jc w:val="center"/>
            </w:pPr>
            <w:r>
              <w:rPr>
                <w:rFonts w:eastAsiaTheme="minorEastAsia"/>
              </w:rPr>
              <w:t>71.8</w:t>
            </w:r>
          </w:p>
        </w:tc>
        <w:tc>
          <w:tcPr>
            <w:tcW w:w="1623" w:type="dxa"/>
            <w:gridSpan w:val="2"/>
            <w:tcBorders>
              <w:top w:val="nil"/>
              <w:left w:val="nil"/>
              <w:bottom w:val="nil"/>
              <w:right w:val="nil"/>
            </w:tcBorders>
            <w:shd w:val="clear" w:color="auto" w:fill="auto"/>
          </w:tcPr>
          <w:p w14:paraId="28E4AB73" w14:textId="77777777" w:rsidR="008749B7" w:rsidRDefault="008749B7" w:rsidP="004200C6">
            <w:pPr>
              <w:jc w:val="center"/>
              <w:rPr>
                <w:rFonts w:eastAsiaTheme="minorEastAsia"/>
              </w:rPr>
            </w:pPr>
          </w:p>
        </w:tc>
      </w:tr>
      <w:tr w:rsidR="008749B7" w14:paraId="55503F22" w14:textId="77777777" w:rsidTr="004200C6">
        <w:tc>
          <w:tcPr>
            <w:tcW w:w="6009" w:type="dxa"/>
            <w:gridSpan w:val="2"/>
            <w:tcBorders>
              <w:top w:val="nil"/>
              <w:left w:val="nil"/>
              <w:bottom w:val="nil"/>
              <w:right w:val="nil"/>
            </w:tcBorders>
            <w:shd w:val="clear" w:color="auto" w:fill="auto"/>
          </w:tcPr>
          <w:p w14:paraId="6E6109EC" w14:textId="77777777" w:rsidR="008749B7" w:rsidRDefault="008749B7" w:rsidP="004200C6">
            <w:r>
              <w:tab/>
              <w:t>Broad Quantity Indicators</w:t>
            </w:r>
          </w:p>
        </w:tc>
        <w:tc>
          <w:tcPr>
            <w:tcW w:w="1710" w:type="dxa"/>
            <w:tcBorders>
              <w:top w:val="nil"/>
              <w:left w:val="nil"/>
              <w:bottom w:val="nil"/>
              <w:right w:val="nil"/>
            </w:tcBorders>
            <w:shd w:val="clear" w:color="auto" w:fill="auto"/>
          </w:tcPr>
          <w:p w14:paraId="1BC696BA" w14:textId="77777777" w:rsidR="008749B7" w:rsidRDefault="008749B7" w:rsidP="004200C6">
            <w:pPr>
              <w:jc w:val="center"/>
            </w:pPr>
            <w:r>
              <w:t>26.8</w:t>
            </w:r>
          </w:p>
        </w:tc>
        <w:tc>
          <w:tcPr>
            <w:tcW w:w="1623" w:type="dxa"/>
            <w:gridSpan w:val="2"/>
            <w:tcBorders>
              <w:top w:val="nil"/>
              <w:left w:val="nil"/>
              <w:bottom w:val="nil"/>
              <w:right w:val="nil"/>
            </w:tcBorders>
            <w:shd w:val="clear" w:color="auto" w:fill="auto"/>
          </w:tcPr>
          <w:p w14:paraId="2C9117F1" w14:textId="77777777" w:rsidR="008749B7" w:rsidRDefault="008749B7" w:rsidP="004200C6">
            <w:pPr>
              <w:jc w:val="center"/>
              <w:rPr>
                <w:rFonts w:eastAsiaTheme="minorEastAsia"/>
              </w:rPr>
            </w:pPr>
          </w:p>
        </w:tc>
      </w:tr>
      <w:tr w:rsidR="008749B7" w14:paraId="4F15AF82" w14:textId="77777777" w:rsidTr="004200C6">
        <w:tc>
          <w:tcPr>
            <w:tcW w:w="6009" w:type="dxa"/>
            <w:gridSpan w:val="2"/>
            <w:tcBorders>
              <w:top w:val="nil"/>
              <w:left w:val="nil"/>
              <w:bottom w:val="nil"/>
              <w:right w:val="nil"/>
            </w:tcBorders>
            <w:shd w:val="clear" w:color="auto" w:fill="auto"/>
          </w:tcPr>
          <w:p w14:paraId="0292D93E" w14:textId="77777777" w:rsidR="008749B7" w:rsidRDefault="008749B7" w:rsidP="004200C6">
            <w:r>
              <w:tab/>
              <w:t>Inflation</w:t>
            </w:r>
          </w:p>
        </w:tc>
        <w:tc>
          <w:tcPr>
            <w:tcW w:w="1710" w:type="dxa"/>
            <w:tcBorders>
              <w:top w:val="nil"/>
              <w:left w:val="nil"/>
              <w:bottom w:val="nil"/>
              <w:right w:val="nil"/>
            </w:tcBorders>
            <w:shd w:val="clear" w:color="auto" w:fill="auto"/>
          </w:tcPr>
          <w:p w14:paraId="56A4C37D" w14:textId="77777777" w:rsidR="008749B7" w:rsidRDefault="008749B7" w:rsidP="004200C6">
            <w:pPr>
              <w:jc w:val="center"/>
            </w:pPr>
            <w:r>
              <w:t>28.7</w:t>
            </w:r>
          </w:p>
        </w:tc>
        <w:tc>
          <w:tcPr>
            <w:tcW w:w="1623" w:type="dxa"/>
            <w:gridSpan w:val="2"/>
            <w:tcBorders>
              <w:top w:val="nil"/>
              <w:left w:val="nil"/>
              <w:bottom w:val="nil"/>
              <w:right w:val="nil"/>
            </w:tcBorders>
            <w:shd w:val="clear" w:color="auto" w:fill="auto"/>
          </w:tcPr>
          <w:p w14:paraId="09EC7373" w14:textId="77777777" w:rsidR="008749B7" w:rsidRDefault="008749B7" w:rsidP="004200C6">
            <w:pPr>
              <w:jc w:val="center"/>
              <w:rPr>
                <w:rFonts w:eastAsiaTheme="minorEastAsia"/>
              </w:rPr>
            </w:pPr>
          </w:p>
        </w:tc>
      </w:tr>
      <w:tr w:rsidR="008749B7" w14:paraId="197689B5" w14:textId="77777777" w:rsidTr="004200C6">
        <w:tc>
          <w:tcPr>
            <w:tcW w:w="6009" w:type="dxa"/>
            <w:gridSpan w:val="2"/>
            <w:tcBorders>
              <w:top w:val="nil"/>
              <w:left w:val="nil"/>
              <w:bottom w:val="nil"/>
              <w:right w:val="nil"/>
            </w:tcBorders>
            <w:shd w:val="clear" w:color="auto" w:fill="auto"/>
          </w:tcPr>
          <w:p w14:paraId="0DFAF8EE" w14:textId="77777777" w:rsidR="008749B7" w:rsidRDefault="008749B7" w:rsidP="004200C6">
            <w:r>
              <w:tab/>
              <w:t>Interest Rates</w:t>
            </w:r>
          </w:p>
        </w:tc>
        <w:tc>
          <w:tcPr>
            <w:tcW w:w="1710" w:type="dxa"/>
            <w:tcBorders>
              <w:top w:val="nil"/>
              <w:left w:val="nil"/>
              <w:bottom w:val="nil"/>
              <w:right w:val="nil"/>
            </w:tcBorders>
            <w:shd w:val="clear" w:color="auto" w:fill="auto"/>
          </w:tcPr>
          <w:p w14:paraId="702C68BF" w14:textId="77777777" w:rsidR="008749B7" w:rsidRDefault="008749B7" w:rsidP="004200C6">
            <w:pPr>
              <w:jc w:val="center"/>
            </w:pPr>
            <w:r>
              <w:t>30.7</w:t>
            </w:r>
          </w:p>
        </w:tc>
        <w:tc>
          <w:tcPr>
            <w:tcW w:w="1623" w:type="dxa"/>
            <w:gridSpan w:val="2"/>
            <w:tcBorders>
              <w:top w:val="nil"/>
              <w:left w:val="nil"/>
              <w:bottom w:val="nil"/>
              <w:right w:val="nil"/>
            </w:tcBorders>
            <w:shd w:val="clear" w:color="auto" w:fill="auto"/>
          </w:tcPr>
          <w:p w14:paraId="72BB609E" w14:textId="77777777" w:rsidR="008749B7" w:rsidRDefault="008749B7" w:rsidP="004200C6">
            <w:pPr>
              <w:jc w:val="center"/>
              <w:rPr>
                <w:rFonts w:eastAsiaTheme="minorEastAsia"/>
              </w:rPr>
            </w:pPr>
          </w:p>
        </w:tc>
      </w:tr>
      <w:tr w:rsidR="008749B7" w14:paraId="37FD302E" w14:textId="77777777" w:rsidTr="004200C6">
        <w:tc>
          <w:tcPr>
            <w:tcW w:w="6009" w:type="dxa"/>
            <w:gridSpan w:val="2"/>
            <w:tcBorders>
              <w:top w:val="nil"/>
              <w:left w:val="nil"/>
              <w:bottom w:val="nil"/>
              <w:right w:val="nil"/>
            </w:tcBorders>
            <w:shd w:val="clear" w:color="auto" w:fill="auto"/>
          </w:tcPr>
          <w:p w14:paraId="738DA56A" w14:textId="77777777" w:rsidR="008749B7" w:rsidRDefault="008749B7" w:rsidP="004200C6">
            <w:r>
              <w:tab/>
              <w:t>Other Financial Indicators</w:t>
            </w:r>
          </w:p>
        </w:tc>
        <w:tc>
          <w:tcPr>
            <w:tcW w:w="1710" w:type="dxa"/>
            <w:tcBorders>
              <w:top w:val="nil"/>
              <w:left w:val="nil"/>
              <w:bottom w:val="nil"/>
              <w:right w:val="nil"/>
            </w:tcBorders>
            <w:shd w:val="clear" w:color="auto" w:fill="auto"/>
          </w:tcPr>
          <w:p w14:paraId="1C0FCA59" w14:textId="77777777" w:rsidR="008749B7" w:rsidRDefault="008749B7" w:rsidP="004200C6">
            <w:pPr>
              <w:jc w:val="center"/>
            </w:pPr>
            <w:r>
              <w:t>3.5</w:t>
            </w:r>
          </w:p>
        </w:tc>
        <w:tc>
          <w:tcPr>
            <w:tcW w:w="1623" w:type="dxa"/>
            <w:gridSpan w:val="2"/>
            <w:tcBorders>
              <w:top w:val="nil"/>
              <w:left w:val="nil"/>
              <w:bottom w:val="nil"/>
              <w:right w:val="nil"/>
            </w:tcBorders>
            <w:shd w:val="clear" w:color="auto" w:fill="auto"/>
          </w:tcPr>
          <w:p w14:paraId="24D26F1B" w14:textId="77777777" w:rsidR="008749B7" w:rsidRDefault="008749B7" w:rsidP="004200C6">
            <w:pPr>
              <w:jc w:val="center"/>
              <w:rPr>
                <w:rFonts w:eastAsiaTheme="minorEastAsia"/>
              </w:rPr>
            </w:pPr>
          </w:p>
        </w:tc>
      </w:tr>
      <w:tr w:rsidR="008749B7" w14:paraId="429B4786" w14:textId="77777777" w:rsidTr="004200C6">
        <w:tc>
          <w:tcPr>
            <w:tcW w:w="6009" w:type="dxa"/>
            <w:gridSpan w:val="2"/>
            <w:tcBorders>
              <w:top w:val="nil"/>
              <w:left w:val="nil"/>
              <w:bottom w:val="nil"/>
              <w:right w:val="nil"/>
            </w:tcBorders>
            <w:shd w:val="clear" w:color="auto" w:fill="auto"/>
          </w:tcPr>
          <w:p w14:paraId="072E3898" w14:textId="77777777" w:rsidR="008749B7" w:rsidRDefault="008749B7" w:rsidP="004200C6">
            <w:r>
              <w:tab/>
              <w:t>Labor Markets</w:t>
            </w:r>
          </w:p>
        </w:tc>
        <w:tc>
          <w:tcPr>
            <w:tcW w:w="1710" w:type="dxa"/>
            <w:tcBorders>
              <w:top w:val="nil"/>
              <w:left w:val="nil"/>
              <w:bottom w:val="nil"/>
              <w:right w:val="nil"/>
            </w:tcBorders>
            <w:shd w:val="clear" w:color="auto" w:fill="auto"/>
          </w:tcPr>
          <w:p w14:paraId="133DD791" w14:textId="77777777" w:rsidR="008749B7" w:rsidRDefault="008749B7" w:rsidP="004200C6">
            <w:pPr>
              <w:jc w:val="center"/>
            </w:pPr>
            <w:r>
              <w:t>22.9</w:t>
            </w:r>
          </w:p>
        </w:tc>
        <w:tc>
          <w:tcPr>
            <w:tcW w:w="1623" w:type="dxa"/>
            <w:gridSpan w:val="2"/>
            <w:tcBorders>
              <w:top w:val="nil"/>
              <w:left w:val="nil"/>
              <w:bottom w:val="nil"/>
              <w:right w:val="nil"/>
            </w:tcBorders>
            <w:shd w:val="clear" w:color="auto" w:fill="auto"/>
          </w:tcPr>
          <w:p w14:paraId="46839FEE" w14:textId="77777777" w:rsidR="008749B7" w:rsidRDefault="008749B7" w:rsidP="004200C6">
            <w:pPr>
              <w:jc w:val="center"/>
              <w:rPr>
                <w:rFonts w:eastAsiaTheme="minorEastAsia"/>
              </w:rPr>
            </w:pPr>
          </w:p>
        </w:tc>
      </w:tr>
      <w:tr w:rsidR="008749B7" w14:paraId="56CC05AB" w14:textId="77777777" w:rsidTr="004200C6">
        <w:tc>
          <w:tcPr>
            <w:tcW w:w="6009" w:type="dxa"/>
            <w:gridSpan w:val="2"/>
            <w:tcBorders>
              <w:top w:val="nil"/>
              <w:left w:val="nil"/>
              <w:bottom w:val="nil"/>
              <w:right w:val="nil"/>
            </w:tcBorders>
            <w:shd w:val="clear" w:color="auto" w:fill="auto"/>
          </w:tcPr>
          <w:p w14:paraId="5A13C641" w14:textId="77777777" w:rsidR="008749B7" w:rsidRDefault="008749B7" w:rsidP="004200C6">
            <w:r>
              <w:tab/>
              <w:t>Real Estate Markets</w:t>
            </w:r>
          </w:p>
        </w:tc>
        <w:tc>
          <w:tcPr>
            <w:tcW w:w="1710" w:type="dxa"/>
            <w:tcBorders>
              <w:top w:val="nil"/>
              <w:left w:val="nil"/>
              <w:bottom w:val="nil"/>
              <w:right w:val="nil"/>
            </w:tcBorders>
            <w:shd w:val="clear" w:color="auto" w:fill="auto"/>
          </w:tcPr>
          <w:p w14:paraId="43A99F01" w14:textId="77777777" w:rsidR="008749B7" w:rsidRDefault="008749B7" w:rsidP="004200C6">
            <w:pPr>
              <w:jc w:val="center"/>
            </w:pPr>
            <w:r>
              <w:t>30.7</w:t>
            </w:r>
          </w:p>
        </w:tc>
        <w:tc>
          <w:tcPr>
            <w:tcW w:w="1623" w:type="dxa"/>
            <w:gridSpan w:val="2"/>
            <w:tcBorders>
              <w:top w:val="nil"/>
              <w:left w:val="nil"/>
              <w:bottom w:val="nil"/>
              <w:right w:val="nil"/>
            </w:tcBorders>
            <w:shd w:val="clear" w:color="auto" w:fill="auto"/>
          </w:tcPr>
          <w:p w14:paraId="5D45B8B6" w14:textId="77777777" w:rsidR="008749B7" w:rsidRDefault="008749B7" w:rsidP="004200C6">
            <w:pPr>
              <w:jc w:val="center"/>
              <w:rPr>
                <w:rFonts w:eastAsiaTheme="minorEastAsia"/>
              </w:rPr>
            </w:pPr>
          </w:p>
        </w:tc>
      </w:tr>
      <w:tr w:rsidR="008749B7" w14:paraId="3BB7453F" w14:textId="77777777" w:rsidTr="004200C6">
        <w:tc>
          <w:tcPr>
            <w:tcW w:w="6009" w:type="dxa"/>
            <w:gridSpan w:val="2"/>
            <w:tcBorders>
              <w:top w:val="nil"/>
              <w:left w:val="nil"/>
              <w:bottom w:val="nil"/>
              <w:right w:val="nil"/>
            </w:tcBorders>
            <w:shd w:val="clear" w:color="auto" w:fill="auto"/>
          </w:tcPr>
          <w:p w14:paraId="6C024C02" w14:textId="77777777" w:rsidR="008749B7" w:rsidRDefault="008749B7" w:rsidP="004200C6">
            <w:r>
              <w:tab/>
              <w:t>Trade</w:t>
            </w:r>
          </w:p>
        </w:tc>
        <w:tc>
          <w:tcPr>
            <w:tcW w:w="1710" w:type="dxa"/>
            <w:tcBorders>
              <w:top w:val="nil"/>
              <w:left w:val="nil"/>
              <w:bottom w:val="nil"/>
              <w:right w:val="nil"/>
            </w:tcBorders>
            <w:shd w:val="clear" w:color="auto" w:fill="auto"/>
          </w:tcPr>
          <w:p w14:paraId="2F2ACF3B" w14:textId="77777777" w:rsidR="008749B7" w:rsidRDefault="008749B7" w:rsidP="004200C6">
            <w:pPr>
              <w:ind w:right="89"/>
              <w:jc w:val="center"/>
            </w:pPr>
            <w:r>
              <w:t xml:space="preserve">    2.4</w:t>
            </w:r>
            <w:r>
              <w:tab/>
            </w:r>
          </w:p>
        </w:tc>
        <w:tc>
          <w:tcPr>
            <w:tcW w:w="1623" w:type="dxa"/>
            <w:gridSpan w:val="2"/>
            <w:tcBorders>
              <w:top w:val="nil"/>
              <w:left w:val="nil"/>
              <w:bottom w:val="nil"/>
              <w:right w:val="nil"/>
            </w:tcBorders>
            <w:shd w:val="clear" w:color="auto" w:fill="auto"/>
          </w:tcPr>
          <w:p w14:paraId="185CD07F" w14:textId="77777777" w:rsidR="008749B7" w:rsidRDefault="008749B7" w:rsidP="004200C6">
            <w:pPr>
              <w:jc w:val="center"/>
              <w:rPr>
                <w:rFonts w:eastAsiaTheme="minorEastAsia"/>
              </w:rPr>
            </w:pPr>
          </w:p>
        </w:tc>
      </w:tr>
      <w:tr w:rsidR="008749B7" w14:paraId="671DBDF9" w14:textId="77777777" w:rsidTr="004200C6">
        <w:tc>
          <w:tcPr>
            <w:tcW w:w="6009" w:type="dxa"/>
            <w:gridSpan w:val="2"/>
            <w:tcBorders>
              <w:top w:val="nil"/>
              <w:left w:val="nil"/>
              <w:bottom w:val="nil"/>
              <w:right w:val="nil"/>
            </w:tcBorders>
            <w:shd w:val="clear" w:color="auto" w:fill="auto"/>
          </w:tcPr>
          <w:p w14:paraId="00E842B4" w14:textId="77777777" w:rsidR="008749B7" w:rsidRDefault="008749B7" w:rsidP="004200C6">
            <w:r>
              <w:tab/>
              <w:t>Business Investment and Sentiment</w:t>
            </w:r>
          </w:p>
        </w:tc>
        <w:tc>
          <w:tcPr>
            <w:tcW w:w="1710" w:type="dxa"/>
            <w:tcBorders>
              <w:top w:val="nil"/>
              <w:left w:val="nil"/>
              <w:bottom w:val="nil"/>
              <w:right w:val="nil"/>
            </w:tcBorders>
            <w:shd w:val="clear" w:color="auto" w:fill="auto"/>
          </w:tcPr>
          <w:p w14:paraId="6953AB6F" w14:textId="77777777" w:rsidR="008749B7" w:rsidRDefault="008749B7" w:rsidP="004200C6">
            <w:pPr>
              <w:jc w:val="center"/>
            </w:pPr>
            <w:r>
              <w:t>1.8</w:t>
            </w:r>
          </w:p>
        </w:tc>
        <w:tc>
          <w:tcPr>
            <w:tcW w:w="1623" w:type="dxa"/>
            <w:gridSpan w:val="2"/>
            <w:tcBorders>
              <w:top w:val="nil"/>
              <w:left w:val="nil"/>
              <w:bottom w:val="nil"/>
              <w:right w:val="nil"/>
            </w:tcBorders>
            <w:shd w:val="clear" w:color="auto" w:fill="auto"/>
          </w:tcPr>
          <w:p w14:paraId="49E4BC6F" w14:textId="77777777" w:rsidR="008749B7" w:rsidRDefault="008749B7" w:rsidP="004200C6">
            <w:pPr>
              <w:jc w:val="center"/>
              <w:rPr>
                <w:rFonts w:eastAsiaTheme="minorEastAsia"/>
              </w:rPr>
            </w:pPr>
          </w:p>
        </w:tc>
      </w:tr>
      <w:tr w:rsidR="008749B7" w14:paraId="4FFE14AC" w14:textId="77777777" w:rsidTr="004200C6">
        <w:tc>
          <w:tcPr>
            <w:tcW w:w="6009" w:type="dxa"/>
            <w:gridSpan w:val="2"/>
            <w:tcBorders>
              <w:top w:val="nil"/>
              <w:left w:val="nil"/>
              <w:bottom w:val="nil"/>
              <w:right w:val="nil"/>
            </w:tcBorders>
            <w:shd w:val="clear" w:color="auto" w:fill="auto"/>
          </w:tcPr>
          <w:p w14:paraId="7B0DD684" w14:textId="77777777" w:rsidR="008749B7" w:rsidRDefault="008749B7" w:rsidP="004200C6">
            <w:r>
              <w:tab/>
              <w:t>Consumer Spending and Sentiment</w:t>
            </w:r>
          </w:p>
        </w:tc>
        <w:tc>
          <w:tcPr>
            <w:tcW w:w="1710" w:type="dxa"/>
            <w:tcBorders>
              <w:top w:val="nil"/>
              <w:left w:val="nil"/>
              <w:bottom w:val="nil"/>
              <w:right w:val="nil"/>
            </w:tcBorders>
            <w:shd w:val="clear" w:color="auto" w:fill="auto"/>
          </w:tcPr>
          <w:p w14:paraId="5CEB76B8" w14:textId="77777777" w:rsidR="008749B7" w:rsidRDefault="008749B7" w:rsidP="004200C6">
            <w:pPr>
              <w:jc w:val="center"/>
            </w:pPr>
            <w:r>
              <w:t>9.2</w:t>
            </w:r>
          </w:p>
        </w:tc>
        <w:tc>
          <w:tcPr>
            <w:tcW w:w="1623" w:type="dxa"/>
            <w:gridSpan w:val="2"/>
            <w:tcBorders>
              <w:top w:val="nil"/>
              <w:left w:val="nil"/>
              <w:bottom w:val="nil"/>
              <w:right w:val="nil"/>
            </w:tcBorders>
            <w:shd w:val="clear" w:color="auto" w:fill="auto"/>
          </w:tcPr>
          <w:p w14:paraId="503658EB" w14:textId="77777777" w:rsidR="008749B7" w:rsidRDefault="008749B7" w:rsidP="004200C6">
            <w:pPr>
              <w:jc w:val="center"/>
              <w:rPr>
                <w:rFonts w:eastAsiaTheme="minorEastAsia"/>
              </w:rPr>
            </w:pPr>
          </w:p>
        </w:tc>
      </w:tr>
      <w:tr w:rsidR="008749B7" w14:paraId="6C4F453D" w14:textId="77777777" w:rsidTr="004200C6">
        <w:tc>
          <w:tcPr>
            <w:tcW w:w="6009" w:type="dxa"/>
            <w:gridSpan w:val="2"/>
            <w:tcBorders>
              <w:top w:val="nil"/>
              <w:left w:val="nil"/>
              <w:bottom w:val="nil"/>
              <w:right w:val="nil"/>
            </w:tcBorders>
            <w:shd w:val="clear" w:color="auto" w:fill="auto"/>
          </w:tcPr>
          <w:p w14:paraId="616BFA80" w14:textId="77777777" w:rsidR="008749B7" w:rsidRDefault="008749B7" w:rsidP="004200C6">
            <w:pPr>
              <w:rPr>
                <w:rFonts w:eastAsiaTheme="minorEastAsia"/>
              </w:rPr>
            </w:pPr>
            <w:r>
              <w:rPr>
                <w:rFonts w:eastAsiaTheme="minorEastAsia"/>
              </w:rPr>
              <w:t>Commodity Markets</w:t>
            </w:r>
          </w:p>
        </w:tc>
        <w:tc>
          <w:tcPr>
            <w:tcW w:w="1710" w:type="dxa"/>
            <w:tcBorders>
              <w:top w:val="nil"/>
              <w:left w:val="nil"/>
              <w:bottom w:val="nil"/>
              <w:right w:val="nil"/>
            </w:tcBorders>
            <w:shd w:val="clear" w:color="auto" w:fill="auto"/>
          </w:tcPr>
          <w:p w14:paraId="0675EF8C" w14:textId="77777777" w:rsidR="008749B7" w:rsidRDefault="008749B7" w:rsidP="004200C6">
            <w:pPr>
              <w:jc w:val="center"/>
              <w:rPr>
                <w:rFonts w:eastAsiaTheme="minorEastAsia"/>
              </w:rPr>
            </w:pPr>
            <w:r>
              <w:rPr>
                <w:rFonts w:eastAsiaTheme="minorEastAsia"/>
              </w:rPr>
              <w:t>43.7</w:t>
            </w:r>
          </w:p>
        </w:tc>
        <w:tc>
          <w:tcPr>
            <w:tcW w:w="1623" w:type="dxa"/>
            <w:gridSpan w:val="2"/>
            <w:tcBorders>
              <w:top w:val="nil"/>
              <w:left w:val="nil"/>
              <w:bottom w:val="nil"/>
              <w:right w:val="nil"/>
            </w:tcBorders>
            <w:shd w:val="clear" w:color="auto" w:fill="auto"/>
          </w:tcPr>
          <w:p w14:paraId="757388AD" w14:textId="77777777" w:rsidR="008749B7" w:rsidRDefault="008749B7" w:rsidP="004200C6">
            <w:pPr>
              <w:jc w:val="center"/>
              <w:rPr>
                <w:rFonts w:eastAsiaTheme="minorEastAsia"/>
              </w:rPr>
            </w:pPr>
          </w:p>
        </w:tc>
      </w:tr>
      <w:tr w:rsidR="008749B7" w14:paraId="5025E058" w14:textId="77777777" w:rsidTr="004200C6">
        <w:tc>
          <w:tcPr>
            <w:tcW w:w="6009" w:type="dxa"/>
            <w:gridSpan w:val="2"/>
            <w:tcBorders>
              <w:top w:val="nil"/>
              <w:left w:val="nil"/>
              <w:bottom w:val="nil"/>
              <w:right w:val="nil"/>
            </w:tcBorders>
            <w:shd w:val="clear" w:color="auto" w:fill="auto"/>
          </w:tcPr>
          <w:p w14:paraId="382020AF" w14:textId="77777777" w:rsidR="008749B7" w:rsidRDefault="008749B7" w:rsidP="004200C6">
            <w:pPr>
              <w:rPr>
                <w:rFonts w:eastAsiaTheme="minorEastAsia"/>
                <w:color w:val="FF0000"/>
              </w:rPr>
            </w:pPr>
            <w:r>
              <w:rPr>
                <w:rFonts w:eastAsiaTheme="minorEastAsia"/>
              </w:rPr>
              <w:t>Financial Crises</w:t>
            </w:r>
          </w:p>
        </w:tc>
        <w:tc>
          <w:tcPr>
            <w:tcW w:w="1710" w:type="dxa"/>
            <w:tcBorders>
              <w:top w:val="nil"/>
              <w:left w:val="nil"/>
              <w:bottom w:val="nil"/>
              <w:right w:val="nil"/>
            </w:tcBorders>
            <w:shd w:val="clear" w:color="auto" w:fill="auto"/>
          </w:tcPr>
          <w:p w14:paraId="4392A63A" w14:textId="77777777" w:rsidR="008749B7" w:rsidRDefault="008749B7" w:rsidP="004200C6">
            <w:pPr>
              <w:jc w:val="center"/>
              <w:rPr>
                <w:rFonts w:eastAsiaTheme="minorEastAsia"/>
              </w:rPr>
            </w:pPr>
            <w:r>
              <w:rPr>
                <w:rFonts w:eastAsiaTheme="minorEastAsia"/>
              </w:rPr>
              <w:t>8.1</w:t>
            </w:r>
          </w:p>
        </w:tc>
        <w:tc>
          <w:tcPr>
            <w:tcW w:w="1623" w:type="dxa"/>
            <w:gridSpan w:val="2"/>
            <w:tcBorders>
              <w:top w:val="nil"/>
              <w:left w:val="nil"/>
              <w:bottom w:val="nil"/>
              <w:right w:val="nil"/>
            </w:tcBorders>
            <w:shd w:val="clear" w:color="auto" w:fill="auto"/>
          </w:tcPr>
          <w:p w14:paraId="6BFFD1F0" w14:textId="77777777" w:rsidR="008749B7" w:rsidRDefault="008749B7" w:rsidP="004200C6">
            <w:pPr>
              <w:jc w:val="center"/>
              <w:rPr>
                <w:rFonts w:eastAsiaTheme="minorEastAsia"/>
              </w:rPr>
            </w:pPr>
          </w:p>
        </w:tc>
      </w:tr>
      <w:tr w:rsidR="008749B7" w14:paraId="0A06E29E" w14:textId="77777777" w:rsidTr="004200C6">
        <w:tc>
          <w:tcPr>
            <w:tcW w:w="6009" w:type="dxa"/>
            <w:gridSpan w:val="2"/>
            <w:tcBorders>
              <w:top w:val="nil"/>
              <w:left w:val="nil"/>
              <w:bottom w:val="nil"/>
              <w:right w:val="nil"/>
            </w:tcBorders>
            <w:shd w:val="clear" w:color="auto" w:fill="auto"/>
          </w:tcPr>
          <w:p w14:paraId="581C690F" w14:textId="77777777" w:rsidR="008749B7" w:rsidRDefault="008749B7" w:rsidP="004200C6">
            <w:pPr>
              <w:rPr>
                <w:rFonts w:eastAsiaTheme="minorEastAsia"/>
              </w:rPr>
            </w:pPr>
            <w:r>
              <w:rPr>
                <w:rFonts w:eastAsiaTheme="minorEastAsia"/>
              </w:rPr>
              <w:t>Exchange Rates</w:t>
            </w:r>
          </w:p>
        </w:tc>
        <w:tc>
          <w:tcPr>
            <w:tcW w:w="1710" w:type="dxa"/>
            <w:tcBorders>
              <w:top w:val="nil"/>
              <w:left w:val="nil"/>
              <w:bottom w:val="nil"/>
              <w:right w:val="nil"/>
            </w:tcBorders>
            <w:shd w:val="clear" w:color="auto" w:fill="auto"/>
          </w:tcPr>
          <w:p w14:paraId="54F73D2A" w14:textId="77777777" w:rsidR="008749B7" w:rsidRDefault="008749B7" w:rsidP="004200C6">
            <w:pPr>
              <w:jc w:val="center"/>
              <w:rPr>
                <w:rFonts w:eastAsiaTheme="minorEastAsia"/>
              </w:rPr>
            </w:pPr>
            <w:r>
              <w:rPr>
                <w:rFonts w:eastAsiaTheme="minorEastAsia"/>
              </w:rPr>
              <w:t>2.0</w:t>
            </w:r>
          </w:p>
        </w:tc>
        <w:tc>
          <w:tcPr>
            <w:tcW w:w="1623" w:type="dxa"/>
            <w:gridSpan w:val="2"/>
            <w:tcBorders>
              <w:top w:val="nil"/>
              <w:left w:val="nil"/>
              <w:bottom w:val="nil"/>
              <w:right w:val="nil"/>
            </w:tcBorders>
            <w:shd w:val="clear" w:color="auto" w:fill="auto"/>
          </w:tcPr>
          <w:p w14:paraId="2BF2507F" w14:textId="77777777" w:rsidR="008749B7" w:rsidRDefault="008749B7" w:rsidP="004200C6">
            <w:pPr>
              <w:jc w:val="center"/>
              <w:rPr>
                <w:rFonts w:eastAsiaTheme="minorEastAsia"/>
              </w:rPr>
            </w:pPr>
          </w:p>
        </w:tc>
      </w:tr>
      <w:tr w:rsidR="008749B7" w14:paraId="78CEFB3A" w14:textId="77777777" w:rsidTr="004200C6">
        <w:tc>
          <w:tcPr>
            <w:tcW w:w="6009" w:type="dxa"/>
            <w:gridSpan w:val="2"/>
            <w:tcBorders>
              <w:top w:val="nil"/>
              <w:left w:val="nil"/>
              <w:bottom w:val="nil"/>
              <w:right w:val="nil"/>
            </w:tcBorders>
            <w:shd w:val="clear" w:color="auto" w:fill="auto"/>
          </w:tcPr>
          <w:p w14:paraId="45309001" w14:textId="77777777" w:rsidR="008749B7" w:rsidRDefault="008749B7" w:rsidP="004200C6">
            <w:pPr>
              <w:rPr>
                <w:rFonts w:eastAsiaTheme="minorEastAsia"/>
              </w:rPr>
            </w:pPr>
            <w:r>
              <w:rPr>
                <w:rFonts w:eastAsiaTheme="minorEastAsia"/>
              </w:rPr>
              <w:t>Healthcare Matters</w:t>
            </w:r>
          </w:p>
        </w:tc>
        <w:tc>
          <w:tcPr>
            <w:tcW w:w="1710" w:type="dxa"/>
            <w:tcBorders>
              <w:top w:val="nil"/>
              <w:left w:val="nil"/>
              <w:bottom w:val="nil"/>
              <w:right w:val="nil"/>
            </w:tcBorders>
            <w:shd w:val="clear" w:color="auto" w:fill="auto"/>
          </w:tcPr>
          <w:p w14:paraId="73115093" w14:textId="77777777" w:rsidR="008749B7" w:rsidRDefault="008749B7" w:rsidP="004200C6">
            <w:pPr>
              <w:jc w:val="center"/>
              <w:rPr>
                <w:rFonts w:eastAsiaTheme="minorEastAsia"/>
              </w:rPr>
            </w:pPr>
            <w:r>
              <w:rPr>
                <w:rFonts w:eastAsiaTheme="minorEastAsia"/>
              </w:rPr>
              <w:t>6.4</w:t>
            </w:r>
          </w:p>
        </w:tc>
        <w:tc>
          <w:tcPr>
            <w:tcW w:w="1623" w:type="dxa"/>
            <w:gridSpan w:val="2"/>
            <w:tcBorders>
              <w:top w:val="nil"/>
              <w:left w:val="nil"/>
              <w:bottom w:val="nil"/>
              <w:right w:val="nil"/>
            </w:tcBorders>
            <w:shd w:val="clear" w:color="auto" w:fill="auto"/>
          </w:tcPr>
          <w:p w14:paraId="7A4D0BEA" w14:textId="77777777" w:rsidR="008749B7" w:rsidRDefault="008749B7" w:rsidP="004200C6">
            <w:pPr>
              <w:jc w:val="center"/>
              <w:rPr>
                <w:rFonts w:eastAsiaTheme="minorEastAsia"/>
              </w:rPr>
            </w:pPr>
          </w:p>
        </w:tc>
      </w:tr>
      <w:tr w:rsidR="008749B7" w14:paraId="744D6F8E" w14:textId="77777777" w:rsidTr="004200C6">
        <w:tc>
          <w:tcPr>
            <w:tcW w:w="6009" w:type="dxa"/>
            <w:gridSpan w:val="2"/>
            <w:tcBorders>
              <w:top w:val="nil"/>
              <w:left w:val="nil"/>
              <w:bottom w:val="nil"/>
              <w:right w:val="nil"/>
            </w:tcBorders>
            <w:shd w:val="clear" w:color="auto" w:fill="auto"/>
          </w:tcPr>
          <w:p w14:paraId="3788DD93" w14:textId="77777777" w:rsidR="008749B7" w:rsidRDefault="008749B7" w:rsidP="004200C6">
            <w:pPr>
              <w:rPr>
                <w:rFonts w:eastAsiaTheme="minorEastAsia"/>
              </w:rPr>
            </w:pPr>
            <w:r>
              <w:rPr>
                <w:rFonts w:eastAsiaTheme="minorEastAsia"/>
              </w:rPr>
              <w:t>Litigation Matters</w:t>
            </w:r>
          </w:p>
        </w:tc>
        <w:tc>
          <w:tcPr>
            <w:tcW w:w="1710" w:type="dxa"/>
            <w:tcBorders>
              <w:top w:val="nil"/>
              <w:left w:val="nil"/>
              <w:bottom w:val="nil"/>
              <w:right w:val="nil"/>
            </w:tcBorders>
            <w:shd w:val="clear" w:color="auto" w:fill="auto"/>
          </w:tcPr>
          <w:p w14:paraId="18A933D6" w14:textId="77777777" w:rsidR="008749B7" w:rsidRDefault="008749B7" w:rsidP="004200C6">
            <w:pPr>
              <w:jc w:val="center"/>
              <w:rPr>
                <w:rFonts w:eastAsiaTheme="minorEastAsia"/>
              </w:rPr>
            </w:pPr>
            <w:r>
              <w:rPr>
                <w:rFonts w:eastAsiaTheme="minorEastAsia"/>
              </w:rPr>
              <w:t>4.7</w:t>
            </w:r>
          </w:p>
        </w:tc>
        <w:tc>
          <w:tcPr>
            <w:tcW w:w="1623" w:type="dxa"/>
            <w:gridSpan w:val="2"/>
            <w:tcBorders>
              <w:top w:val="nil"/>
              <w:left w:val="nil"/>
              <w:bottom w:val="nil"/>
              <w:right w:val="nil"/>
            </w:tcBorders>
            <w:shd w:val="clear" w:color="auto" w:fill="auto"/>
          </w:tcPr>
          <w:p w14:paraId="2E364DA5" w14:textId="77777777" w:rsidR="008749B7" w:rsidRDefault="008749B7" w:rsidP="004200C6">
            <w:pPr>
              <w:jc w:val="center"/>
              <w:rPr>
                <w:rFonts w:eastAsiaTheme="minorEastAsia"/>
              </w:rPr>
            </w:pPr>
          </w:p>
        </w:tc>
      </w:tr>
      <w:tr w:rsidR="008749B7" w14:paraId="6B409C12" w14:textId="77777777" w:rsidTr="004200C6">
        <w:tc>
          <w:tcPr>
            <w:tcW w:w="6009" w:type="dxa"/>
            <w:gridSpan w:val="2"/>
            <w:tcBorders>
              <w:top w:val="nil"/>
              <w:left w:val="nil"/>
              <w:bottom w:val="nil"/>
              <w:right w:val="nil"/>
            </w:tcBorders>
            <w:shd w:val="clear" w:color="auto" w:fill="auto"/>
          </w:tcPr>
          <w:p w14:paraId="59BD98C4" w14:textId="77777777" w:rsidR="008749B7" w:rsidRDefault="008749B7" w:rsidP="004200C6">
            <w:pPr>
              <w:rPr>
                <w:rFonts w:eastAsiaTheme="minorEastAsia"/>
              </w:rPr>
            </w:pPr>
            <w:r>
              <w:rPr>
                <w:rFonts w:eastAsiaTheme="minorEastAsia"/>
              </w:rPr>
              <w:t>Competition Matters</w:t>
            </w:r>
          </w:p>
        </w:tc>
        <w:tc>
          <w:tcPr>
            <w:tcW w:w="1710" w:type="dxa"/>
            <w:tcBorders>
              <w:top w:val="nil"/>
              <w:left w:val="nil"/>
              <w:bottom w:val="nil"/>
              <w:right w:val="nil"/>
            </w:tcBorders>
            <w:shd w:val="clear" w:color="auto" w:fill="auto"/>
          </w:tcPr>
          <w:p w14:paraId="599A6C8C" w14:textId="77777777" w:rsidR="008749B7" w:rsidRDefault="008749B7" w:rsidP="004200C6">
            <w:pPr>
              <w:jc w:val="center"/>
              <w:rPr>
                <w:rFonts w:eastAsiaTheme="minorEastAsia"/>
              </w:rPr>
            </w:pPr>
            <w:r>
              <w:rPr>
                <w:rFonts w:eastAsiaTheme="minorEastAsia"/>
              </w:rPr>
              <w:t>3.8</w:t>
            </w:r>
          </w:p>
        </w:tc>
        <w:tc>
          <w:tcPr>
            <w:tcW w:w="1623" w:type="dxa"/>
            <w:gridSpan w:val="2"/>
            <w:tcBorders>
              <w:top w:val="nil"/>
              <w:left w:val="nil"/>
              <w:bottom w:val="nil"/>
              <w:right w:val="nil"/>
            </w:tcBorders>
            <w:shd w:val="clear" w:color="auto" w:fill="auto"/>
          </w:tcPr>
          <w:p w14:paraId="14430C6E" w14:textId="77777777" w:rsidR="008749B7" w:rsidRDefault="008749B7" w:rsidP="004200C6">
            <w:pPr>
              <w:jc w:val="center"/>
              <w:rPr>
                <w:rFonts w:eastAsiaTheme="minorEastAsia"/>
              </w:rPr>
            </w:pPr>
          </w:p>
        </w:tc>
      </w:tr>
      <w:tr w:rsidR="008749B7" w14:paraId="0D9AF90E" w14:textId="77777777" w:rsidTr="004200C6">
        <w:tc>
          <w:tcPr>
            <w:tcW w:w="6009" w:type="dxa"/>
            <w:gridSpan w:val="2"/>
            <w:tcBorders>
              <w:top w:val="nil"/>
              <w:left w:val="nil"/>
              <w:bottom w:val="nil"/>
              <w:right w:val="nil"/>
            </w:tcBorders>
            <w:shd w:val="clear" w:color="auto" w:fill="auto"/>
          </w:tcPr>
          <w:p w14:paraId="28B03CA7" w14:textId="77777777" w:rsidR="008749B7" w:rsidRDefault="008749B7" w:rsidP="004200C6">
            <w:pPr>
              <w:rPr>
                <w:rFonts w:eastAsiaTheme="minorEastAsia"/>
              </w:rPr>
            </w:pPr>
            <w:r>
              <w:rPr>
                <w:rFonts w:eastAsiaTheme="minorEastAsia"/>
              </w:rPr>
              <w:t>Labor Disputes</w:t>
            </w:r>
          </w:p>
        </w:tc>
        <w:tc>
          <w:tcPr>
            <w:tcW w:w="1710" w:type="dxa"/>
            <w:tcBorders>
              <w:top w:val="nil"/>
              <w:left w:val="nil"/>
              <w:bottom w:val="nil"/>
              <w:right w:val="nil"/>
            </w:tcBorders>
            <w:shd w:val="clear" w:color="auto" w:fill="auto"/>
          </w:tcPr>
          <w:p w14:paraId="0C138B8B" w14:textId="77777777" w:rsidR="008749B7" w:rsidRDefault="008749B7" w:rsidP="004200C6">
            <w:pPr>
              <w:jc w:val="center"/>
              <w:rPr>
                <w:rFonts w:eastAsiaTheme="minorEastAsia"/>
              </w:rPr>
            </w:pPr>
            <w:r>
              <w:rPr>
                <w:rFonts w:eastAsiaTheme="minorEastAsia"/>
              </w:rPr>
              <w:t>4.0</w:t>
            </w:r>
          </w:p>
        </w:tc>
        <w:tc>
          <w:tcPr>
            <w:tcW w:w="1623" w:type="dxa"/>
            <w:gridSpan w:val="2"/>
            <w:tcBorders>
              <w:top w:val="nil"/>
              <w:left w:val="nil"/>
              <w:bottom w:val="nil"/>
              <w:right w:val="nil"/>
            </w:tcBorders>
            <w:shd w:val="clear" w:color="auto" w:fill="auto"/>
          </w:tcPr>
          <w:p w14:paraId="64DD01CD" w14:textId="77777777" w:rsidR="008749B7" w:rsidRDefault="008749B7" w:rsidP="004200C6">
            <w:pPr>
              <w:jc w:val="center"/>
              <w:rPr>
                <w:rFonts w:eastAsiaTheme="minorEastAsia"/>
              </w:rPr>
            </w:pPr>
          </w:p>
        </w:tc>
      </w:tr>
      <w:tr w:rsidR="008749B7" w14:paraId="01C83CFC" w14:textId="77777777" w:rsidTr="004200C6">
        <w:tc>
          <w:tcPr>
            <w:tcW w:w="6009" w:type="dxa"/>
            <w:gridSpan w:val="2"/>
            <w:tcBorders>
              <w:top w:val="nil"/>
              <w:left w:val="nil"/>
              <w:bottom w:val="double" w:sz="4" w:space="0" w:color="000000"/>
              <w:right w:val="nil"/>
            </w:tcBorders>
            <w:shd w:val="clear" w:color="auto" w:fill="auto"/>
          </w:tcPr>
          <w:p w14:paraId="0D5150ED" w14:textId="77777777" w:rsidR="008749B7" w:rsidRDefault="008749B7" w:rsidP="004200C6">
            <w:pPr>
              <w:rPr>
                <w:rFonts w:eastAsiaTheme="minorEastAsia"/>
              </w:rPr>
            </w:pPr>
            <w:r>
              <w:rPr>
                <w:rFonts w:eastAsiaTheme="minorEastAsia"/>
              </w:rPr>
              <w:t>Intellectual Property Matters</w:t>
            </w:r>
          </w:p>
        </w:tc>
        <w:tc>
          <w:tcPr>
            <w:tcW w:w="1710" w:type="dxa"/>
            <w:tcBorders>
              <w:top w:val="nil"/>
              <w:left w:val="nil"/>
              <w:bottom w:val="double" w:sz="4" w:space="0" w:color="000000"/>
              <w:right w:val="nil"/>
            </w:tcBorders>
            <w:shd w:val="clear" w:color="auto" w:fill="auto"/>
          </w:tcPr>
          <w:p w14:paraId="039A487A" w14:textId="77777777" w:rsidR="008749B7" w:rsidRDefault="008749B7" w:rsidP="004200C6">
            <w:pPr>
              <w:jc w:val="center"/>
              <w:rPr>
                <w:rFonts w:eastAsiaTheme="minorEastAsia"/>
              </w:rPr>
            </w:pPr>
            <w:r>
              <w:rPr>
                <w:rFonts w:eastAsiaTheme="minorEastAsia"/>
              </w:rPr>
              <w:t>3.3</w:t>
            </w:r>
          </w:p>
        </w:tc>
        <w:tc>
          <w:tcPr>
            <w:tcW w:w="1623" w:type="dxa"/>
            <w:gridSpan w:val="2"/>
            <w:tcBorders>
              <w:top w:val="nil"/>
              <w:left w:val="nil"/>
              <w:bottom w:val="double" w:sz="4" w:space="0" w:color="000000"/>
              <w:right w:val="nil"/>
            </w:tcBorders>
            <w:shd w:val="clear" w:color="auto" w:fill="auto"/>
          </w:tcPr>
          <w:p w14:paraId="50DB2286" w14:textId="77777777" w:rsidR="008749B7" w:rsidRDefault="008749B7" w:rsidP="004200C6">
            <w:pPr>
              <w:jc w:val="center"/>
              <w:rPr>
                <w:rFonts w:eastAsiaTheme="minorEastAsia"/>
              </w:rPr>
            </w:pPr>
          </w:p>
        </w:tc>
      </w:tr>
      <w:tr w:rsidR="008749B7" w14:paraId="7BD5EFD3" w14:textId="77777777" w:rsidTr="004200C6">
        <w:tc>
          <w:tcPr>
            <w:tcW w:w="6009" w:type="dxa"/>
            <w:gridSpan w:val="2"/>
            <w:tcBorders>
              <w:top w:val="double" w:sz="4" w:space="0" w:color="000000"/>
              <w:left w:val="nil"/>
              <w:right w:val="nil"/>
            </w:tcBorders>
            <w:shd w:val="clear" w:color="auto" w:fill="auto"/>
          </w:tcPr>
          <w:p w14:paraId="79D83BE7" w14:textId="77777777" w:rsidR="008749B7" w:rsidRDefault="008749B7" w:rsidP="004200C6">
            <w:pPr>
              <w:rPr>
                <w:rFonts w:eastAsiaTheme="minorEastAsia"/>
                <w:b/>
              </w:rPr>
            </w:pPr>
            <w:r>
              <w:rPr>
                <w:rFonts w:eastAsiaTheme="minorEastAsia"/>
                <w:b/>
              </w:rPr>
              <w:t>Panel B. Policy-Related Categories</w:t>
            </w:r>
          </w:p>
        </w:tc>
        <w:tc>
          <w:tcPr>
            <w:tcW w:w="1710" w:type="dxa"/>
            <w:tcBorders>
              <w:top w:val="double" w:sz="4" w:space="0" w:color="000000"/>
              <w:left w:val="nil"/>
              <w:right w:val="nil"/>
            </w:tcBorders>
            <w:shd w:val="clear" w:color="auto" w:fill="auto"/>
          </w:tcPr>
          <w:p w14:paraId="777EFB23" w14:textId="77777777" w:rsidR="008749B7" w:rsidRDefault="008749B7" w:rsidP="004200C6">
            <w:pPr>
              <w:jc w:val="center"/>
              <w:rPr>
                <w:rFonts w:eastAsiaTheme="minorEastAsia"/>
                <w:b/>
              </w:rPr>
            </w:pPr>
            <w:r>
              <w:rPr>
                <w:rFonts w:eastAsiaTheme="minorEastAsia"/>
                <w:b/>
              </w:rPr>
              <w:t>Percent of EMV Articles</w:t>
            </w:r>
          </w:p>
        </w:tc>
        <w:tc>
          <w:tcPr>
            <w:tcW w:w="1623" w:type="dxa"/>
            <w:gridSpan w:val="2"/>
            <w:tcBorders>
              <w:top w:val="double" w:sz="4" w:space="0" w:color="000000"/>
              <w:left w:val="nil"/>
              <w:right w:val="nil"/>
            </w:tcBorders>
            <w:shd w:val="clear" w:color="auto" w:fill="auto"/>
          </w:tcPr>
          <w:p w14:paraId="5D7565F9" w14:textId="77777777" w:rsidR="008749B7" w:rsidRDefault="008749B7" w:rsidP="004200C6">
            <w:pPr>
              <w:jc w:val="center"/>
              <w:rPr>
                <w:rFonts w:eastAsiaTheme="minorEastAsia"/>
                <w:b/>
              </w:rPr>
            </w:pPr>
            <w:r>
              <w:rPr>
                <w:rFonts w:eastAsiaTheme="minorEastAsia"/>
                <w:b/>
              </w:rPr>
              <w:t>Percent of EPU Articles</w:t>
            </w:r>
          </w:p>
        </w:tc>
      </w:tr>
      <w:tr w:rsidR="008749B7" w14:paraId="0CCE6EDA" w14:textId="77777777" w:rsidTr="004200C6">
        <w:tc>
          <w:tcPr>
            <w:tcW w:w="6009" w:type="dxa"/>
            <w:gridSpan w:val="2"/>
            <w:tcBorders>
              <w:top w:val="nil"/>
              <w:left w:val="nil"/>
              <w:bottom w:val="nil"/>
              <w:right w:val="nil"/>
            </w:tcBorders>
            <w:shd w:val="clear" w:color="auto" w:fill="auto"/>
          </w:tcPr>
          <w:p w14:paraId="595E60D8" w14:textId="77777777" w:rsidR="008749B7" w:rsidRDefault="008749B7" w:rsidP="004200C6">
            <w:pPr>
              <w:rPr>
                <w:rFonts w:eastAsiaTheme="minorEastAsia"/>
              </w:rPr>
            </w:pPr>
            <w:r>
              <w:rPr>
                <w:rFonts w:eastAsiaTheme="minorEastAsia"/>
              </w:rPr>
              <w:t>Fiscal Policy:</w:t>
            </w:r>
          </w:p>
        </w:tc>
        <w:tc>
          <w:tcPr>
            <w:tcW w:w="1710" w:type="dxa"/>
            <w:tcBorders>
              <w:top w:val="nil"/>
              <w:left w:val="nil"/>
              <w:bottom w:val="nil"/>
              <w:right w:val="nil"/>
            </w:tcBorders>
            <w:shd w:val="clear" w:color="auto" w:fill="auto"/>
          </w:tcPr>
          <w:p w14:paraId="14B62D97" w14:textId="77777777" w:rsidR="008749B7" w:rsidRDefault="008749B7" w:rsidP="004200C6">
            <w:pPr>
              <w:jc w:val="center"/>
              <w:rPr>
                <w:rFonts w:eastAsiaTheme="minorEastAsia"/>
              </w:rPr>
            </w:pPr>
            <w:r>
              <w:rPr>
                <w:rFonts w:eastAsiaTheme="minorEastAsia"/>
              </w:rPr>
              <w:t>34.7</w:t>
            </w:r>
          </w:p>
        </w:tc>
        <w:tc>
          <w:tcPr>
            <w:tcW w:w="1623" w:type="dxa"/>
            <w:gridSpan w:val="2"/>
            <w:tcBorders>
              <w:top w:val="nil"/>
              <w:left w:val="nil"/>
              <w:bottom w:val="nil"/>
              <w:right w:val="nil"/>
            </w:tcBorders>
            <w:shd w:val="clear" w:color="auto" w:fill="auto"/>
          </w:tcPr>
          <w:p w14:paraId="2BFFBBA5" w14:textId="77777777" w:rsidR="008749B7" w:rsidRDefault="008749B7" w:rsidP="004200C6">
            <w:pPr>
              <w:jc w:val="center"/>
              <w:rPr>
                <w:rFonts w:eastAsiaTheme="minorEastAsia"/>
              </w:rPr>
            </w:pPr>
            <w:r>
              <w:rPr>
                <w:rFonts w:eastAsiaTheme="minorEastAsia"/>
              </w:rPr>
              <w:t>44.6</w:t>
            </w:r>
          </w:p>
        </w:tc>
      </w:tr>
      <w:tr w:rsidR="008749B7" w14:paraId="456BC3D4" w14:textId="77777777" w:rsidTr="004200C6">
        <w:tc>
          <w:tcPr>
            <w:tcW w:w="6009" w:type="dxa"/>
            <w:gridSpan w:val="2"/>
            <w:tcBorders>
              <w:top w:val="nil"/>
              <w:left w:val="nil"/>
              <w:bottom w:val="nil"/>
              <w:right w:val="nil"/>
            </w:tcBorders>
            <w:shd w:val="clear" w:color="auto" w:fill="auto"/>
          </w:tcPr>
          <w:p w14:paraId="667F66BA" w14:textId="77777777" w:rsidR="008749B7" w:rsidRDefault="008749B7" w:rsidP="004200C6">
            <w:r>
              <w:rPr>
                <w:rFonts w:eastAsiaTheme="minorEastAsia"/>
              </w:rPr>
              <w:tab/>
              <w:t>Taxes</w:t>
            </w:r>
          </w:p>
        </w:tc>
        <w:tc>
          <w:tcPr>
            <w:tcW w:w="1710" w:type="dxa"/>
            <w:tcBorders>
              <w:top w:val="nil"/>
              <w:left w:val="nil"/>
              <w:bottom w:val="nil"/>
              <w:right w:val="nil"/>
            </w:tcBorders>
            <w:shd w:val="clear" w:color="auto" w:fill="auto"/>
          </w:tcPr>
          <w:p w14:paraId="4094DCFD" w14:textId="77777777" w:rsidR="008749B7" w:rsidRDefault="008749B7" w:rsidP="004200C6">
            <w:pPr>
              <w:jc w:val="center"/>
              <w:rPr>
                <w:rFonts w:eastAsiaTheme="minorEastAsia"/>
              </w:rPr>
            </w:pPr>
            <w:r>
              <w:rPr>
                <w:rFonts w:eastAsiaTheme="minorEastAsia"/>
              </w:rPr>
              <w:t>29.8</w:t>
            </w:r>
          </w:p>
        </w:tc>
        <w:tc>
          <w:tcPr>
            <w:tcW w:w="1623" w:type="dxa"/>
            <w:gridSpan w:val="2"/>
            <w:tcBorders>
              <w:top w:val="nil"/>
              <w:left w:val="nil"/>
              <w:bottom w:val="nil"/>
              <w:right w:val="nil"/>
            </w:tcBorders>
            <w:shd w:val="clear" w:color="auto" w:fill="auto"/>
          </w:tcPr>
          <w:p w14:paraId="29EEB392" w14:textId="77777777" w:rsidR="008749B7" w:rsidRDefault="008749B7" w:rsidP="004200C6">
            <w:pPr>
              <w:jc w:val="center"/>
              <w:rPr>
                <w:rFonts w:eastAsiaTheme="minorEastAsia"/>
              </w:rPr>
            </w:pPr>
            <w:r>
              <w:rPr>
                <w:rFonts w:eastAsiaTheme="minorEastAsia"/>
              </w:rPr>
              <w:t>36.1</w:t>
            </w:r>
          </w:p>
        </w:tc>
      </w:tr>
      <w:tr w:rsidR="008749B7" w14:paraId="1944FDFC" w14:textId="77777777" w:rsidTr="004200C6">
        <w:tc>
          <w:tcPr>
            <w:tcW w:w="6009" w:type="dxa"/>
            <w:gridSpan w:val="2"/>
            <w:tcBorders>
              <w:top w:val="nil"/>
              <w:left w:val="nil"/>
              <w:bottom w:val="nil"/>
              <w:right w:val="nil"/>
            </w:tcBorders>
            <w:shd w:val="clear" w:color="auto" w:fill="auto"/>
          </w:tcPr>
          <w:p w14:paraId="5244630C" w14:textId="77777777" w:rsidR="008749B7" w:rsidRDefault="008749B7" w:rsidP="004200C6">
            <w:pPr>
              <w:rPr>
                <w:rFonts w:eastAsiaTheme="minorEastAsia"/>
              </w:rPr>
            </w:pPr>
            <w:r>
              <w:rPr>
                <w:rFonts w:eastAsiaTheme="minorEastAsia"/>
              </w:rPr>
              <w:tab/>
              <w:t>Government Spending, Deficits, and Debt</w:t>
            </w:r>
          </w:p>
        </w:tc>
        <w:tc>
          <w:tcPr>
            <w:tcW w:w="1710" w:type="dxa"/>
            <w:tcBorders>
              <w:top w:val="nil"/>
              <w:left w:val="nil"/>
              <w:bottom w:val="nil"/>
              <w:right w:val="nil"/>
            </w:tcBorders>
            <w:shd w:val="clear" w:color="auto" w:fill="auto"/>
          </w:tcPr>
          <w:p w14:paraId="2498A4B1" w14:textId="77777777" w:rsidR="008749B7" w:rsidRDefault="008749B7" w:rsidP="004200C6">
            <w:pPr>
              <w:jc w:val="center"/>
              <w:rPr>
                <w:rFonts w:eastAsiaTheme="minorEastAsia"/>
              </w:rPr>
            </w:pPr>
            <w:r>
              <w:rPr>
                <w:rFonts w:eastAsiaTheme="minorEastAsia"/>
              </w:rPr>
              <w:t>6.1</w:t>
            </w:r>
          </w:p>
        </w:tc>
        <w:tc>
          <w:tcPr>
            <w:tcW w:w="1623" w:type="dxa"/>
            <w:gridSpan w:val="2"/>
            <w:tcBorders>
              <w:top w:val="nil"/>
              <w:left w:val="nil"/>
              <w:bottom w:val="nil"/>
              <w:right w:val="nil"/>
            </w:tcBorders>
            <w:shd w:val="clear" w:color="auto" w:fill="auto"/>
          </w:tcPr>
          <w:p w14:paraId="0EF2F245" w14:textId="77777777" w:rsidR="008749B7" w:rsidRDefault="008749B7" w:rsidP="004200C6">
            <w:pPr>
              <w:jc w:val="center"/>
              <w:rPr>
                <w:rFonts w:eastAsiaTheme="minorEastAsia"/>
              </w:rPr>
            </w:pPr>
            <w:r>
              <w:rPr>
                <w:rFonts w:eastAsiaTheme="minorEastAsia"/>
              </w:rPr>
              <w:t>15.3</w:t>
            </w:r>
          </w:p>
        </w:tc>
      </w:tr>
      <w:tr w:rsidR="008749B7" w14:paraId="220DE1AD" w14:textId="77777777" w:rsidTr="004200C6">
        <w:tc>
          <w:tcPr>
            <w:tcW w:w="6009" w:type="dxa"/>
            <w:gridSpan w:val="2"/>
            <w:tcBorders>
              <w:top w:val="nil"/>
              <w:left w:val="nil"/>
              <w:bottom w:val="nil"/>
              <w:right w:val="nil"/>
            </w:tcBorders>
            <w:shd w:val="clear" w:color="auto" w:fill="auto"/>
          </w:tcPr>
          <w:p w14:paraId="06D079E0" w14:textId="77777777" w:rsidR="008749B7" w:rsidRDefault="008749B7" w:rsidP="004200C6">
            <w:pPr>
              <w:rPr>
                <w:rFonts w:eastAsiaTheme="minorEastAsia"/>
              </w:rPr>
            </w:pPr>
            <w:r>
              <w:rPr>
                <w:rFonts w:eastAsiaTheme="minorEastAsia"/>
              </w:rPr>
              <w:tab/>
              <w:t>Entitlement and Welfare Programs</w:t>
            </w:r>
          </w:p>
        </w:tc>
        <w:tc>
          <w:tcPr>
            <w:tcW w:w="1710" w:type="dxa"/>
            <w:tcBorders>
              <w:top w:val="nil"/>
              <w:left w:val="nil"/>
              <w:bottom w:val="nil"/>
              <w:right w:val="nil"/>
            </w:tcBorders>
            <w:shd w:val="clear" w:color="auto" w:fill="auto"/>
          </w:tcPr>
          <w:p w14:paraId="06E04B3D" w14:textId="77777777" w:rsidR="008749B7" w:rsidRDefault="008749B7" w:rsidP="004200C6">
            <w:pPr>
              <w:jc w:val="center"/>
              <w:rPr>
                <w:rFonts w:eastAsiaTheme="minorEastAsia"/>
              </w:rPr>
            </w:pPr>
            <w:r>
              <w:rPr>
                <w:rFonts w:eastAsiaTheme="minorEastAsia"/>
              </w:rPr>
              <w:t>7.1</w:t>
            </w:r>
          </w:p>
        </w:tc>
        <w:tc>
          <w:tcPr>
            <w:tcW w:w="1623" w:type="dxa"/>
            <w:gridSpan w:val="2"/>
            <w:tcBorders>
              <w:top w:val="nil"/>
              <w:left w:val="nil"/>
              <w:bottom w:val="nil"/>
              <w:right w:val="nil"/>
            </w:tcBorders>
            <w:shd w:val="clear" w:color="auto" w:fill="auto"/>
          </w:tcPr>
          <w:p w14:paraId="65B313DD" w14:textId="77777777" w:rsidR="008749B7" w:rsidRDefault="008749B7" w:rsidP="004200C6">
            <w:pPr>
              <w:jc w:val="center"/>
              <w:rPr>
                <w:rFonts w:eastAsiaTheme="minorEastAsia"/>
              </w:rPr>
            </w:pPr>
            <w:r>
              <w:rPr>
                <w:rFonts w:eastAsiaTheme="minorEastAsia"/>
              </w:rPr>
              <w:t>12.0</w:t>
            </w:r>
          </w:p>
        </w:tc>
      </w:tr>
      <w:tr w:rsidR="008749B7" w14:paraId="57C9F25E" w14:textId="77777777" w:rsidTr="004200C6">
        <w:tc>
          <w:tcPr>
            <w:tcW w:w="6009" w:type="dxa"/>
            <w:gridSpan w:val="2"/>
            <w:tcBorders>
              <w:top w:val="nil"/>
              <w:left w:val="nil"/>
              <w:bottom w:val="nil"/>
              <w:right w:val="nil"/>
            </w:tcBorders>
            <w:shd w:val="clear" w:color="auto" w:fill="auto"/>
          </w:tcPr>
          <w:p w14:paraId="09975BE7" w14:textId="77777777" w:rsidR="008749B7" w:rsidRDefault="008749B7" w:rsidP="004200C6">
            <w:pPr>
              <w:rPr>
                <w:rFonts w:eastAsiaTheme="minorEastAsia"/>
              </w:rPr>
            </w:pPr>
            <w:r>
              <w:rPr>
                <w:rFonts w:eastAsiaTheme="minorEastAsia"/>
              </w:rPr>
              <w:t>Monetary Policy</w:t>
            </w:r>
          </w:p>
        </w:tc>
        <w:tc>
          <w:tcPr>
            <w:tcW w:w="1710" w:type="dxa"/>
            <w:tcBorders>
              <w:top w:val="nil"/>
              <w:left w:val="nil"/>
              <w:bottom w:val="nil"/>
              <w:right w:val="nil"/>
            </w:tcBorders>
            <w:shd w:val="clear" w:color="auto" w:fill="auto"/>
          </w:tcPr>
          <w:p w14:paraId="0EAD6D49" w14:textId="77777777" w:rsidR="008749B7" w:rsidRDefault="008749B7" w:rsidP="004200C6">
            <w:pPr>
              <w:jc w:val="center"/>
              <w:rPr>
                <w:rFonts w:eastAsiaTheme="minorEastAsia"/>
              </w:rPr>
            </w:pPr>
            <w:r>
              <w:rPr>
                <w:rFonts w:eastAsiaTheme="minorEastAsia"/>
              </w:rPr>
              <w:t>29.5</w:t>
            </w:r>
          </w:p>
        </w:tc>
        <w:tc>
          <w:tcPr>
            <w:tcW w:w="1623" w:type="dxa"/>
            <w:gridSpan w:val="2"/>
            <w:tcBorders>
              <w:top w:val="nil"/>
              <w:left w:val="nil"/>
              <w:bottom w:val="nil"/>
              <w:right w:val="nil"/>
            </w:tcBorders>
            <w:shd w:val="clear" w:color="auto" w:fill="auto"/>
          </w:tcPr>
          <w:p w14:paraId="2E463E1F" w14:textId="77777777" w:rsidR="008749B7" w:rsidRDefault="008749B7" w:rsidP="004200C6">
            <w:pPr>
              <w:jc w:val="center"/>
              <w:rPr>
                <w:rFonts w:eastAsiaTheme="minorEastAsia"/>
              </w:rPr>
            </w:pPr>
            <w:r>
              <w:rPr>
                <w:rFonts w:eastAsiaTheme="minorEastAsia"/>
              </w:rPr>
              <w:t>34.9</w:t>
            </w:r>
          </w:p>
        </w:tc>
      </w:tr>
      <w:tr w:rsidR="008749B7" w14:paraId="3B807C8C" w14:textId="77777777" w:rsidTr="004200C6">
        <w:tc>
          <w:tcPr>
            <w:tcW w:w="6009" w:type="dxa"/>
            <w:gridSpan w:val="2"/>
            <w:tcBorders>
              <w:top w:val="nil"/>
              <w:left w:val="nil"/>
              <w:bottom w:val="nil"/>
              <w:right w:val="nil"/>
            </w:tcBorders>
            <w:shd w:val="clear" w:color="auto" w:fill="auto"/>
          </w:tcPr>
          <w:p w14:paraId="7963E872" w14:textId="77777777" w:rsidR="008749B7" w:rsidRDefault="008749B7" w:rsidP="004200C6">
            <w:pPr>
              <w:rPr>
                <w:rFonts w:eastAsiaTheme="minorEastAsia"/>
              </w:rPr>
            </w:pPr>
            <w:r>
              <w:rPr>
                <w:rFonts w:eastAsiaTheme="minorEastAsia"/>
              </w:rPr>
              <w:t xml:space="preserve">Regulation </w:t>
            </w:r>
            <w:r>
              <w:rPr>
                <w:rFonts w:eastAsiaTheme="minorEastAsia"/>
                <w:sz w:val="23"/>
                <w:szCs w:val="23"/>
              </w:rPr>
              <w:t>(generic regulation + 4 big regulation categories)</w:t>
            </w:r>
          </w:p>
        </w:tc>
        <w:tc>
          <w:tcPr>
            <w:tcW w:w="1710" w:type="dxa"/>
            <w:tcBorders>
              <w:top w:val="nil"/>
              <w:left w:val="nil"/>
              <w:bottom w:val="nil"/>
              <w:right w:val="nil"/>
            </w:tcBorders>
            <w:shd w:val="clear" w:color="auto" w:fill="auto"/>
          </w:tcPr>
          <w:p w14:paraId="08D957A0" w14:textId="77777777" w:rsidR="008749B7" w:rsidRDefault="008749B7" w:rsidP="004200C6">
            <w:pPr>
              <w:jc w:val="center"/>
              <w:rPr>
                <w:rFonts w:eastAsiaTheme="minorEastAsia"/>
              </w:rPr>
            </w:pPr>
            <w:r>
              <w:rPr>
                <w:rFonts w:eastAsiaTheme="minorEastAsia"/>
              </w:rPr>
              <w:t>24.9</w:t>
            </w:r>
          </w:p>
        </w:tc>
        <w:tc>
          <w:tcPr>
            <w:tcW w:w="1623" w:type="dxa"/>
            <w:gridSpan w:val="2"/>
            <w:tcBorders>
              <w:top w:val="nil"/>
              <w:left w:val="nil"/>
              <w:bottom w:val="nil"/>
              <w:right w:val="nil"/>
            </w:tcBorders>
            <w:shd w:val="clear" w:color="auto" w:fill="auto"/>
          </w:tcPr>
          <w:p w14:paraId="1503527F" w14:textId="77777777" w:rsidR="008749B7" w:rsidRDefault="008749B7" w:rsidP="004200C6">
            <w:pPr>
              <w:jc w:val="center"/>
              <w:rPr>
                <w:rFonts w:eastAsiaTheme="minorEastAsia"/>
              </w:rPr>
            </w:pPr>
            <w:r>
              <w:rPr>
                <w:rFonts w:eastAsiaTheme="minorEastAsia"/>
              </w:rPr>
              <w:t>27.1</w:t>
            </w:r>
          </w:p>
        </w:tc>
      </w:tr>
      <w:tr w:rsidR="008749B7" w14:paraId="021DC33B" w14:textId="77777777" w:rsidTr="004200C6">
        <w:tc>
          <w:tcPr>
            <w:tcW w:w="6009" w:type="dxa"/>
            <w:gridSpan w:val="2"/>
            <w:tcBorders>
              <w:top w:val="nil"/>
              <w:left w:val="nil"/>
              <w:bottom w:val="nil"/>
              <w:right w:val="nil"/>
            </w:tcBorders>
            <w:shd w:val="clear" w:color="auto" w:fill="auto"/>
          </w:tcPr>
          <w:p w14:paraId="4B36D95B" w14:textId="77777777" w:rsidR="008749B7" w:rsidRDefault="008749B7" w:rsidP="004200C6">
            <w:pPr>
              <w:rPr>
                <w:rFonts w:eastAsiaTheme="minorEastAsia"/>
              </w:rPr>
            </w:pPr>
            <w:r>
              <w:rPr>
                <w:rFonts w:eastAsiaTheme="minorEastAsia"/>
              </w:rPr>
              <w:tab/>
              <w:t>Financial Regulation</w:t>
            </w:r>
          </w:p>
        </w:tc>
        <w:tc>
          <w:tcPr>
            <w:tcW w:w="1710" w:type="dxa"/>
            <w:tcBorders>
              <w:top w:val="nil"/>
              <w:left w:val="nil"/>
              <w:bottom w:val="nil"/>
              <w:right w:val="nil"/>
            </w:tcBorders>
            <w:shd w:val="clear" w:color="auto" w:fill="auto"/>
          </w:tcPr>
          <w:p w14:paraId="123D5160" w14:textId="77777777" w:rsidR="008749B7" w:rsidRDefault="008749B7" w:rsidP="004200C6">
            <w:pPr>
              <w:jc w:val="center"/>
              <w:rPr>
                <w:rFonts w:eastAsiaTheme="minorEastAsia"/>
              </w:rPr>
            </w:pPr>
            <w:r>
              <w:rPr>
                <w:rFonts w:eastAsiaTheme="minorEastAsia"/>
              </w:rPr>
              <w:t>14.7</w:t>
            </w:r>
          </w:p>
        </w:tc>
        <w:tc>
          <w:tcPr>
            <w:tcW w:w="1623" w:type="dxa"/>
            <w:gridSpan w:val="2"/>
            <w:tcBorders>
              <w:top w:val="nil"/>
              <w:left w:val="nil"/>
              <w:bottom w:val="nil"/>
              <w:right w:val="nil"/>
            </w:tcBorders>
            <w:shd w:val="clear" w:color="auto" w:fill="auto"/>
          </w:tcPr>
          <w:p w14:paraId="55679721" w14:textId="77777777" w:rsidR="008749B7" w:rsidRDefault="008749B7" w:rsidP="004200C6">
            <w:pPr>
              <w:jc w:val="center"/>
              <w:rPr>
                <w:rFonts w:eastAsiaTheme="minorEastAsia"/>
              </w:rPr>
            </w:pPr>
            <w:r>
              <w:rPr>
                <w:rFonts w:eastAsiaTheme="minorEastAsia"/>
              </w:rPr>
              <w:t>6.3</w:t>
            </w:r>
          </w:p>
        </w:tc>
      </w:tr>
      <w:tr w:rsidR="008749B7" w14:paraId="40BA1EEC" w14:textId="77777777" w:rsidTr="004200C6">
        <w:tc>
          <w:tcPr>
            <w:tcW w:w="6009" w:type="dxa"/>
            <w:gridSpan w:val="2"/>
            <w:tcBorders>
              <w:top w:val="nil"/>
              <w:left w:val="nil"/>
              <w:bottom w:val="nil"/>
              <w:right w:val="nil"/>
            </w:tcBorders>
            <w:shd w:val="clear" w:color="auto" w:fill="auto"/>
          </w:tcPr>
          <w:p w14:paraId="4AD753AC" w14:textId="77777777" w:rsidR="008749B7" w:rsidRDefault="008749B7" w:rsidP="004200C6">
            <w:pPr>
              <w:rPr>
                <w:rFonts w:eastAsiaTheme="minorEastAsia"/>
              </w:rPr>
            </w:pPr>
            <w:r>
              <w:rPr>
                <w:rFonts w:eastAsiaTheme="minorEastAsia"/>
              </w:rPr>
              <w:tab/>
              <w:t>Competition Policy</w:t>
            </w:r>
          </w:p>
        </w:tc>
        <w:tc>
          <w:tcPr>
            <w:tcW w:w="1710" w:type="dxa"/>
            <w:tcBorders>
              <w:top w:val="nil"/>
              <w:left w:val="nil"/>
              <w:bottom w:val="nil"/>
              <w:right w:val="nil"/>
            </w:tcBorders>
            <w:shd w:val="clear" w:color="auto" w:fill="auto"/>
          </w:tcPr>
          <w:p w14:paraId="41B1D1E4" w14:textId="77777777" w:rsidR="008749B7" w:rsidRDefault="008749B7" w:rsidP="004200C6">
            <w:pPr>
              <w:jc w:val="center"/>
              <w:rPr>
                <w:rFonts w:eastAsiaTheme="minorEastAsia"/>
              </w:rPr>
            </w:pPr>
            <w:r>
              <w:rPr>
                <w:rFonts w:eastAsiaTheme="minorEastAsia"/>
              </w:rPr>
              <w:t>2.4</w:t>
            </w:r>
          </w:p>
        </w:tc>
        <w:tc>
          <w:tcPr>
            <w:tcW w:w="1623" w:type="dxa"/>
            <w:gridSpan w:val="2"/>
            <w:tcBorders>
              <w:top w:val="nil"/>
              <w:left w:val="nil"/>
              <w:bottom w:val="nil"/>
              <w:right w:val="nil"/>
            </w:tcBorders>
            <w:shd w:val="clear" w:color="auto" w:fill="auto"/>
          </w:tcPr>
          <w:p w14:paraId="5DCDF197" w14:textId="77777777" w:rsidR="008749B7" w:rsidRDefault="008749B7" w:rsidP="004200C6">
            <w:pPr>
              <w:jc w:val="center"/>
              <w:rPr>
                <w:rFonts w:eastAsiaTheme="minorEastAsia"/>
              </w:rPr>
            </w:pPr>
            <w:r>
              <w:rPr>
                <w:rFonts w:eastAsiaTheme="minorEastAsia"/>
              </w:rPr>
              <w:t>1.1</w:t>
            </w:r>
          </w:p>
        </w:tc>
      </w:tr>
      <w:tr w:rsidR="008749B7" w14:paraId="57520168" w14:textId="77777777" w:rsidTr="004200C6">
        <w:tc>
          <w:tcPr>
            <w:tcW w:w="6009" w:type="dxa"/>
            <w:gridSpan w:val="2"/>
            <w:tcBorders>
              <w:top w:val="nil"/>
              <w:left w:val="nil"/>
              <w:bottom w:val="nil"/>
              <w:right w:val="nil"/>
            </w:tcBorders>
            <w:shd w:val="clear" w:color="auto" w:fill="auto"/>
          </w:tcPr>
          <w:p w14:paraId="3F41213F" w14:textId="77777777" w:rsidR="008749B7" w:rsidRDefault="008749B7" w:rsidP="004200C6">
            <w:pPr>
              <w:rPr>
                <w:rFonts w:eastAsiaTheme="minorEastAsia"/>
              </w:rPr>
            </w:pPr>
            <w:r>
              <w:rPr>
                <w:rFonts w:eastAsiaTheme="minorEastAsia"/>
              </w:rPr>
              <w:tab/>
              <w:t>Intellectual Property Policy</w:t>
            </w:r>
          </w:p>
        </w:tc>
        <w:tc>
          <w:tcPr>
            <w:tcW w:w="1710" w:type="dxa"/>
            <w:tcBorders>
              <w:top w:val="nil"/>
              <w:left w:val="nil"/>
              <w:bottom w:val="nil"/>
              <w:right w:val="nil"/>
            </w:tcBorders>
            <w:shd w:val="clear" w:color="auto" w:fill="auto"/>
          </w:tcPr>
          <w:p w14:paraId="40A53BBD" w14:textId="77777777" w:rsidR="008749B7" w:rsidRDefault="008749B7" w:rsidP="004200C6">
            <w:pPr>
              <w:jc w:val="center"/>
              <w:rPr>
                <w:rFonts w:eastAsiaTheme="minorEastAsia"/>
              </w:rPr>
            </w:pPr>
            <w:r>
              <w:rPr>
                <w:rFonts w:eastAsiaTheme="minorEastAsia"/>
              </w:rPr>
              <w:t>0.1</w:t>
            </w:r>
          </w:p>
        </w:tc>
        <w:tc>
          <w:tcPr>
            <w:tcW w:w="1623" w:type="dxa"/>
            <w:gridSpan w:val="2"/>
            <w:tcBorders>
              <w:top w:val="nil"/>
              <w:left w:val="nil"/>
              <w:bottom w:val="nil"/>
              <w:right w:val="nil"/>
            </w:tcBorders>
            <w:shd w:val="clear" w:color="auto" w:fill="auto"/>
          </w:tcPr>
          <w:p w14:paraId="1DF190F0" w14:textId="77777777" w:rsidR="008749B7" w:rsidRDefault="008749B7" w:rsidP="004200C6">
            <w:pPr>
              <w:jc w:val="center"/>
              <w:rPr>
                <w:rFonts w:eastAsiaTheme="minorEastAsia"/>
              </w:rPr>
            </w:pPr>
            <w:r>
              <w:rPr>
                <w:rFonts w:eastAsiaTheme="minorEastAsia"/>
              </w:rPr>
              <w:t>0.3</w:t>
            </w:r>
          </w:p>
        </w:tc>
      </w:tr>
      <w:tr w:rsidR="008749B7" w14:paraId="54E81E5A" w14:textId="77777777" w:rsidTr="004200C6">
        <w:tc>
          <w:tcPr>
            <w:tcW w:w="6009" w:type="dxa"/>
            <w:gridSpan w:val="2"/>
            <w:tcBorders>
              <w:top w:val="nil"/>
              <w:left w:val="nil"/>
              <w:bottom w:val="nil"/>
              <w:right w:val="nil"/>
            </w:tcBorders>
            <w:shd w:val="clear" w:color="auto" w:fill="auto"/>
          </w:tcPr>
          <w:p w14:paraId="000CD1CB" w14:textId="77777777" w:rsidR="008749B7" w:rsidRDefault="008749B7" w:rsidP="004200C6">
            <w:pPr>
              <w:rPr>
                <w:rFonts w:eastAsiaTheme="minorEastAsia"/>
              </w:rPr>
            </w:pPr>
            <w:r>
              <w:rPr>
                <w:rFonts w:eastAsiaTheme="minorEastAsia"/>
              </w:rPr>
              <w:tab/>
              <w:t>Labor Regulations</w:t>
            </w:r>
          </w:p>
        </w:tc>
        <w:tc>
          <w:tcPr>
            <w:tcW w:w="1710" w:type="dxa"/>
            <w:tcBorders>
              <w:top w:val="nil"/>
              <w:left w:val="nil"/>
              <w:bottom w:val="nil"/>
              <w:right w:val="nil"/>
            </w:tcBorders>
            <w:shd w:val="clear" w:color="auto" w:fill="auto"/>
          </w:tcPr>
          <w:p w14:paraId="06D91884" w14:textId="77777777" w:rsidR="008749B7" w:rsidRDefault="008749B7" w:rsidP="004200C6">
            <w:pPr>
              <w:jc w:val="center"/>
              <w:rPr>
                <w:rFonts w:eastAsiaTheme="minorEastAsia"/>
              </w:rPr>
            </w:pPr>
            <w:r>
              <w:rPr>
                <w:rFonts w:eastAsiaTheme="minorEastAsia"/>
              </w:rPr>
              <w:t>2.0</w:t>
            </w:r>
          </w:p>
        </w:tc>
        <w:tc>
          <w:tcPr>
            <w:tcW w:w="1623" w:type="dxa"/>
            <w:gridSpan w:val="2"/>
            <w:tcBorders>
              <w:top w:val="nil"/>
              <w:left w:val="nil"/>
              <w:bottom w:val="nil"/>
              <w:right w:val="nil"/>
            </w:tcBorders>
            <w:shd w:val="clear" w:color="auto" w:fill="auto"/>
          </w:tcPr>
          <w:p w14:paraId="518E232C" w14:textId="77777777" w:rsidR="008749B7" w:rsidRDefault="008749B7" w:rsidP="004200C6">
            <w:pPr>
              <w:jc w:val="center"/>
              <w:rPr>
                <w:rFonts w:eastAsiaTheme="minorEastAsia"/>
              </w:rPr>
            </w:pPr>
            <w:r>
              <w:rPr>
                <w:rFonts w:eastAsiaTheme="minorEastAsia"/>
              </w:rPr>
              <w:t>3.3</w:t>
            </w:r>
          </w:p>
        </w:tc>
      </w:tr>
      <w:tr w:rsidR="008749B7" w14:paraId="2709E218" w14:textId="77777777" w:rsidTr="004200C6">
        <w:tc>
          <w:tcPr>
            <w:tcW w:w="6009" w:type="dxa"/>
            <w:gridSpan w:val="2"/>
            <w:tcBorders>
              <w:top w:val="nil"/>
              <w:left w:val="nil"/>
              <w:bottom w:val="nil"/>
              <w:right w:val="nil"/>
            </w:tcBorders>
            <w:shd w:val="clear" w:color="auto" w:fill="auto"/>
          </w:tcPr>
          <w:p w14:paraId="67E14260" w14:textId="77777777" w:rsidR="008749B7" w:rsidRDefault="008749B7" w:rsidP="004200C6">
            <w:pPr>
              <w:rPr>
                <w:rFonts w:eastAsiaTheme="minorEastAsia"/>
              </w:rPr>
            </w:pPr>
            <w:r>
              <w:rPr>
                <w:rFonts w:eastAsiaTheme="minorEastAsia"/>
              </w:rPr>
              <w:tab/>
              <w:t>Immigration</w:t>
            </w:r>
          </w:p>
        </w:tc>
        <w:tc>
          <w:tcPr>
            <w:tcW w:w="1710" w:type="dxa"/>
            <w:tcBorders>
              <w:top w:val="nil"/>
              <w:left w:val="nil"/>
              <w:bottom w:val="nil"/>
              <w:right w:val="nil"/>
            </w:tcBorders>
            <w:shd w:val="clear" w:color="auto" w:fill="auto"/>
          </w:tcPr>
          <w:p w14:paraId="47BC5B5B" w14:textId="77777777" w:rsidR="008749B7" w:rsidRDefault="008749B7" w:rsidP="004200C6">
            <w:pPr>
              <w:jc w:val="center"/>
              <w:rPr>
                <w:rFonts w:eastAsiaTheme="minorEastAsia"/>
              </w:rPr>
            </w:pPr>
            <w:r>
              <w:rPr>
                <w:rFonts w:eastAsiaTheme="minorEastAsia"/>
              </w:rPr>
              <w:t>0.2</w:t>
            </w:r>
          </w:p>
        </w:tc>
        <w:tc>
          <w:tcPr>
            <w:tcW w:w="1623" w:type="dxa"/>
            <w:gridSpan w:val="2"/>
            <w:tcBorders>
              <w:top w:val="nil"/>
              <w:left w:val="nil"/>
              <w:bottom w:val="nil"/>
              <w:right w:val="nil"/>
            </w:tcBorders>
            <w:shd w:val="clear" w:color="auto" w:fill="auto"/>
          </w:tcPr>
          <w:p w14:paraId="20097CEA" w14:textId="77777777" w:rsidR="008749B7" w:rsidRDefault="008749B7" w:rsidP="004200C6">
            <w:pPr>
              <w:jc w:val="center"/>
              <w:rPr>
                <w:rFonts w:eastAsiaTheme="minorEastAsia"/>
              </w:rPr>
            </w:pPr>
            <w:r>
              <w:rPr>
                <w:rFonts w:eastAsiaTheme="minorEastAsia"/>
              </w:rPr>
              <w:t>1.5</w:t>
            </w:r>
          </w:p>
        </w:tc>
      </w:tr>
      <w:tr w:rsidR="008749B7" w14:paraId="755F1BB8" w14:textId="77777777" w:rsidTr="004200C6">
        <w:tc>
          <w:tcPr>
            <w:tcW w:w="6009" w:type="dxa"/>
            <w:gridSpan w:val="2"/>
            <w:tcBorders>
              <w:top w:val="nil"/>
              <w:left w:val="nil"/>
              <w:bottom w:val="nil"/>
              <w:right w:val="nil"/>
            </w:tcBorders>
            <w:shd w:val="clear" w:color="auto" w:fill="auto"/>
          </w:tcPr>
          <w:p w14:paraId="41337854" w14:textId="77777777" w:rsidR="008749B7" w:rsidRDefault="008749B7" w:rsidP="004200C6">
            <w:pPr>
              <w:rPr>
                <w:rFonts w:eastAsiaTheme="minorEastAsia"/>
              </w:rPr>
            </w:pPr>
            <w:r>
              <w:rPr>
                <w:rFonts w:eastAsiaTheme="minorEastAsia"/>
              </w:rPr>
              <w:tab/>
              <w:t>Energy and Environmental Regulation</w:t>
            </w:r>
          </w:p>
        </w:tc>
        <w:tc>
          <w:tcPr>
            <w:tcW w:w="1710" w:type="dxa"/>
            <w:tcBorders>
              <w:top w:val="nil"/>
              <w:left w:val="nil"/>
              <w:bottom w:val="nil"/>
              <w:right w:val="nil"/>
            </w:tcBorders>
            <w:shd w:val="clear" w:color="auto" w:fill="auto"/>
          </w:tcPr>
          <w:p w14:paraId="6E9BFE89" w14:textId="77777777" w:rsidR="008749B7" w:rsidRDefault="008749B7" w:rsidP="004200C6">
            <w:pPr>
              <w:jc w:val="center"/>
              <w:rPr>
                <w:rFonts w:eastAsiaTheme="minorEastAsia"/>
              </w:rPr>
            </w:pPr>
            <w:r>
              <w:rPr>
                <w:rFonts w:eastAsiaTheme="minorEastAsia"/>
              </w:rPr>
              <w:t>1.3</w:t>
            </w:r>
          </w:p>
        </w:tc>
        <w:tc>
          <w:tcPr>
            <w:tcW w:w="1623" w:type="dxa"/>
            <w:gridSpan w:val="2"/>
            <w:tcBorders>
              <w:top w:val="nil"/>
              <w:left w:val="nil"/>
              <w:bottom w:val="nil"/>
              <w:right w:val="nil"/>
            </w:tcBorders>
            <w:shd w:val="clear" w:color="auto" w:fill="auto"/>
          </w:tcPr>
          <w:p w14:paraId="7180CDAB" w14:textId="77777777" w:rsidR="008749B7" w:rsidRDefault="008749B7" w:rsidP="004200C6">
            <w:pPr>
              <w:jc w:val="center"/>
              <w:rPr>
                <w:rFonts w:eastAsiaTheme="minorEastAsia"/>
              </w:rPr>
            </w:pPr>
            <w:r>
              <w:rPr>
                <w:rFonts w:eastAsiaTheme="minorEastAsia"/>
              </w:rPr>
              <w:t>5.5</w:t>
            </w:r>
          </w:p>
        </w:tc>
      </w:tr>
      <w:tr w:rsidR="008749B7" w14:paraId="17B60683" w14:textId="77777777" w:rsidTr="004200C6">
        <w:tc>
          <w:tcPr>
            <w:tcW w:w="6009" w:type="dxa"/>
            <w:gridSpan w:val="2"/>
            <w:tcBorders>
              <w:top w:val="nil"/>
              <w:left w:val="nil"/>
              <w:bottom w:val="nil"/>
              <w:right w:val="nil"/>
            </w:tcBorders>
            <w:shd w:val="clear" w:color="auto" w:fill="auto"/>
          </w:tcPr>
          <w:p w14:paraId="5CB752C2" w14:textId="77777777" w:rsidR="008749B7" w:rsidRDefault="008749B7" w:rsidP="004200C6">
            <w:pPr>
              <w:rPr>
                <w:rFonts w:eastAsiaTheme="minorEastAsia"/>
              </w:rPr>
            </w:pPr>
            <w:r>
              <w:rPr>
                <w:rFonts w:eastAsiaTheme="minorEastAsia"/>
              </w:rPr>
              <w:tab/>
              <w:t>Lawsuit and Tort Reform, Supreme Court Decisions</w:t>
            </w:r>
          </w:p>
        </w:tc>
        <w:tc>
          <w:tcPr>
            <w:tcW w:w="1710" w:type="dxa"/>
            <w:tcBorders>
              <w:top w:val="nil"/>
              <w:left w:val="nil"/>
              <w:bottom w:val="nil"/>
              <w:right w:val="nil"/>
            </w:tcBorders>
            <w:shd w:val="clear" w:color="auto" w:fill="auto"/>
          </w:tcPr>
          <w:p w14:paraId="7FEED27C" w14:textId="77777777" w:rsidR="008749B7" w:rsidRDefault="008749B7" w:rsidP="004200C6">
            <w:pPr>
              <w:jc w:val="center"/>
              <w:rPr>
                <w:rFonts w:eastAsiaTheme="minorEastAsia"/>
              </w:rPr>
            </w:pPr>
            <w:r>
              <w:rPr>
                <w:rFonts w:eastAsiaTheme="minorEastAsia"/>
              </w:rPr>
              <w:t>1.4</w:t>
            </w:r>
          </w:p>
        </w:tc>
        <w:tc>
          <w:tcPr>
            <w:tcW w:w="1623" w:type="dxa"/>
            <w:gridSpan w:val="2"/>
            <w:tcBorders>
              <w:top w:val="nil"/>
              <w:left w:val="nil"/>
              <w:bottom w:val="nil"/>
              <w:right w:val="nil"/>
            </w:tcBorders>
            <w:shd w:val="clear" w:color="auto" w:fill="auto"/>
          </w:tcPr>
          <w:p w14:paraId="080DE27A" w14:textId="77777777" w:rsidR="008749B7" w:rsidRDefault="008749B7" w:rsidP="004200C6">
            <w:pPr>
              <w:jc w:val="center"/>
              <w:rPr>
                <w:rFonts w:eastAsiaTheme="minorEastAsia"/>
              </w:rPr>
            </w:pPr>
            <w:r>
              <w:rPr>
                <w:rFonts w:eastAsiaTheme="minorEastAsia"/>
              </w:rPr>
              <w:t>4.2</w:t>
            </w:r>
          </w:p>
        </w:tc>
      </w:tr>
      <w:tr w:rsidR="008749B7" w14:paraId="36158EF8" w14:textId="77777777" w:rsidTr="004200C6">
        <w:tc>
          <w:tcPr>
            <w:tcW w:w="6009" w:type="dxa"/>
            <w:gridSpan w:val="2"/>
            <w:tcBorders>
              <w:top w:val="nil"/>
              <w:left w:val="nil"/>
              <w:bottom w:val="nil"/>
              <w:right w:val="nil"/>
            </w:tcBorders>
            <w:shd w:val="clear" w:color="auto" w:fill="auto"/>
          </w:tcPr>
          <w:p w14:paraId="3D249F2A" w14:textId="77777777" w:rsidR="008749B7" w:rsidRDefault="008749B7" w:rsidP="004200C6">
            <w:pPr>
              <w:rPr>
                <w:rFonts w:eastAsiaTheme="minorEastAsia"/>
              </w:rPr>
            </w:pPr>
            <w:r>
              <w:rPr>
                <w:rFonts w:eastAsiaTheme="minorEastAsia"/>
              </w:rPr>
              <w:tab/>
              <w:t>Housing and Land Management</w:t>
            </w:r>
          </w:p>
        </w:tc>
        <w:tc>
          <w:tcPr>
            <w:tcW w:w="1710" w:type="dxa"/>
            <w:tcBorders>
              <w:top w:val="nil"/>
              <w:left w:val="nil"/>
              <w:bottom w:val="nil"/>
              <w:right w:val="nil"/>
            </w:tcBorders>
            <w:shd w:val="clear" w:color="auto" w:fill="auto"/>
          </w:tcPr>
          <w:p w14:paraId="40FAE45A" w14:textId="77777777" w:rsidR="008749B7" w:rsidRDefault="008749B7" w:rsidP="004200C6">
            <w:pPr>
              <w:jc w:val="center"/>
              <w:rPr>
                <w:rFonts w:eastAsiaTheme="minorEastAsia"/>
              </w:rPr>
            </w:pPr>
            <w:r>
              <w:rPr>
                <w:rFonts w:eastAsiaTheme="minorEastAsia"/>
              </w:rPr>
              <w:t>1.2</w:t>
            </w:r>
          </w:p>
        </w:tc>
        <w:tc>
          <w:tcPr>
            <w:tcW w:w="1623" w:type="dxa"/>
            <w:gridSpan w:val="2"/>
            <w:tcBorders>
              <w:top w:val="nil"/>
              <w:left w:val="nil"/>
              <w:bottom w:val="nil"/>
              <w:right w:val="nil"/>
            </w:tcBorders>
            <w:shd w:val="clear" w:color="auto" w:fill="auto"/>
          </w:tcPr>
          <w:p w14:paraId="74171F38" w14:textId="77777777" w:rsidR="008749B7" w:rsidRDefault="008749B7" w:rsidP="004200C6">
            <w:pPr>
              <w:jc w:val="center"/>
              <w:rPr>
                <w:rFonts w:eastAsiaTheme="minorEastAsia"/>
              </w:rPr>
            </w:pPr>
            <w:r>
              <w:rPr>
                <w:rFonts w:eastAsiaTheme="minorEastAsia"/>
              </w:rPr>
              <w:t>1.5</w:t>
            </w:r>
          </w:p>
        </w:tc>
      </w:tr>
      <w:tr w:rsidR="008749B7" w14:paraId="5B298AE8" w14:textId="77777777" w:rsidTr="004200C6">
        <w:tc>
          <w:tcPr>
            <w:tcW w:w="6009" w:type="dxa"/>
            <w:gridSpan w:val="2"/>
            <w:tcBorders>
              <w:top w:val="nil"/>
              <w:left w:val="nil"/>
              <w:bottom w:val="nil"/>
              <w:right w:val="nil"/>
            </w:tcBorders>
            <w:shd w:val="clear" w:color="auto" w:fill="auto"/>
            <w:vAlign w:val="center"/>
          </w:tcPr>
          <w:p w14:paraId="741AA206" w14:textId="77777777" w:rsidR="008749B7" w:rsidRDefault="008749B7" w:rsidP="004200C6">
            <w:pPr>
              <w:ind w:left="1332" w:hanging="1332"/>
              <w:rPr>
                <w:rFonts w:eastAsiaTheme="minorEastAsia"/>
              </w:rPr>
            </w:pPr>
            <w:r>
              <w:rPr>
                <w:rFonts w:eastAsiaTheme="minorEastAsia"/>
              </w:rPr>
              <w:t xml:space="preserve">            Other Regulation: Education, Communications,    Consumer Product Safety, and more</w:t>
            </w:r>
          </w:p>
        </w:tc>
        <w:tc>
          <w:tcPr>
            <w:tcW w:w="1710" w:type="dxa"/>
            <w:tcBorders>
              <w:top w:val="nil"/>
              <w:left w:val="nil"/>
              <w:bottom w:val="nil"/>
              <w:right w:val="nil"/>
            </w:tcBorders>
            <w:shd w:val="clear" w:color="auto" w:fill="auto"/>
          </w:tcPr>
          <w:p w14:paraId="3CC6A988" w14:textId="77777777" w:rsidR="008749B7" w:rsidRDefault="008749B7" w:rsidP="004200C6">
            <w:pPr>
              <w:jc w:val="center"/>
              <w:rPr>
                <w:rFonts w:eastAsiaTheme="minorEastAsia"/>
              </w:rPr>
            </w:pPr>
            <w:r>
              <w:rPr>
                <w:rFonts w:eastAsiaTheme="minorEastAsia"/>
              </w:rPr>
              <w:t>1.0</w:t>
            </w:r>
          </w:p>
        </w:tc>
        <w:tc>
          <w:tcPr>
            <w:tcW w:w="1623" w:type="dxa"/>
            <w:gridSpan w:val="2"/>
            <w:tcBorders>
              <w:top w:val="nil"/>
              <w:left w:val="nil"/>
              <w:bottom w:val="nil"/>
              <w:right w:val="nil"/>
            </w:tcBorders>
            <w:shd w:val="clear" w:color="auto" w:fill="auto"/>
          </w:tcPr>
          <w:p w14:paraId="2C6288DF" w14:textId="77777777" w:rsidR="008749B7" w:rsidRDefault="008749B7" w:rsidP="004200C6">
            <w:pPr>
              <w:jc w:val="center"/>
              <w:rPr>
                <w:rFonts w:eastAsiaTheme="minorEastAsia"/>
              </w:rPr>
            </w:pPr>
            <w:r>
              <w:rPr>
                <w:rFonts w:eastAsiaTheme="minorEastAsia"/>
              </w:rPr>
              <w:t>1.7</w:t>
            </w:r>
          </w:p>
        </w:tc>
      </w:tr>
      <w:tr w:rsidR="008749B7" w14:paraId="0F890886" w14:textId="77777777" w:rsidTr="004200C6">
        <w:tc>
          <w:tcPr>
            <w:tcW w:w="6009" w:type="dxa"/>
            <w:gridSpan w:val="2"/>
            <w:tcBorders>
              <w:top w:val="nil"/>
              <w:left w:val="nil"/>
              <w:bottom w:val="nil"/>
              <w:right w:val="nil"/>
            </w:tcBorders>
            <w:shd w:val="clear" w:color="auto" w:fill="auto"/>
          </w:tcPr>
          <w:p w14:paraId="63C2D373" w14:textId="77777777" w:rsidR="008749B7" w:rsidRDefault="008749B7" w:rsidP="004200C6">
            <w:pPr>
              <w:rPr>
                <w:rFonts w:eastAsiaTheme="minorEastAsia"/>
              </w:rPr>
            </w:pPr>
            <w:r>
              <w:rPr>
                <w:rFonts w:eastAsiaTheme="minorEastAsia"/>
              </w:rPr>
              <w:t>National Security Policy</w:t>
            </w:r>
          </w:p>
        </w:tc>
        <w:tc>
          <w:tcPr>
            <w:tcW w:w="1710" w:type="dxa"/>
            <w:tcBorders>
              <w:top w:val="nil"/>
              <w:left w:val="nil"/>
              <w:bottom w:val="nil"/>
              <w:right w:val="nil"/>
            </w:tcBorders>
            <w:shd w:val="clear" w:color="auto" w:fill="auto"/>
          </w:tcPr>
          <w:p w14:paraId="4436D591" w14:textId="77777777" w:rsidR="008749B7" w:rsidRDefault="008749B7" w:rsidP="004200C6">
            <w:pPr>
              <w:jc w:val="center"/>
              <w:rPr>
                <w:rFonts w:eastAsiaTheme="minorEastAsia"/>
              </w:rPr>
            </w:pPr>
            <w:r>
              <w:rPr>
                <w:rFonts w:eastAsiaTheme="minorEastAsia"/>
              </w:rPr>
              <w:t>13.1</w:t>
            </w:r>
          </w:p>
        </w:tc>
        <w:tc>
          <w:tcPr>
            <w:tcW w:w="1623" w:type="dxa"/>
            <w:gridSpan w:val="2"/>
            <w:tcBorders>
              <w:top w:val="nil"/>
              <w:left w:val="nil"/>
              <w:bottom w:val="nil"/>
              <w:right w:val="nil"/>
            </w:tcBorders>
            <w:shd w:val="clear" w:color="auto" w:fill="auto"/>
          </w:tcPr>
          <w:p w14:paraId="06AC0002" w14:textId="77777777" w:rsidR="008749B7" w:rsidRDefault="008749B7" w:rsidP="004200C6">
            <w:pPr>
              <w:jc w:val="center"/>
              <w:rPr>
                <w:rFonts w:eastAsiaTheme="minorEastAsia"/>
              </w:rPr>
            </w:pPr>
            <w:r>
              <w:rPr>
                <w:rFonts w:eastAsiaTheme="minorEastAsia"/>
              </w:rPr>
              <w:t>28.6</w:t>
            </w:r>
          </w:p>
        </w:tc>
      </w:tr>
      <w:tr w:rsidR="008749B7" w14:paraId="4E7FC71C" w14:textId="77777777" w:rsidTr="004200C6">
        <w:tc>
          <w:tcPr>
            <w:tcW w:w="6009" w:type="dxa"/>
            <w:gridSpan w:val="2"/>
            <w:tcBorders>
              <w:top w:val="nil"/>
              <w:left w:val="nil"/>
              <w:bottom w:val="nil"/>
              <w:right w:val="nil"/>
            </w:tcBorders>
            <w:shd w:val="clear" w:color="auto" w:fill="auto"/>
          </w:tcPr>
          <w:p w14:paraId="1718AE36" w14:textId="77777777" w:rsidR="008749B7" w:rsidRDefault="008749B7" w:rsidP="004200C6">
            <w:pPr>
              <w:rPr>
                <w:rFonts w:eastAsiaTheme="minorEastAsia"/>
              </w:rPr>
            </w:pPr>
            <w:r>
              <w:rPr>
                <w:rFonts w:eastAsiaTheme="minorEastAsia"/>
              </w:rPr>
              <w:t>Government-Sponsored Enterprises (e.g., Fannie Mae)</w:t>
            </w:r>
          </w:p>
        </w:tc>
        <w:tc>
          <w:tcPr>
            <w:tcW w:w="1710" w:type="dxa"/>
            <w:tcBorders>
              <w:top w:val="nil"/>
              <w:left w:val="nil"/>
              <w:bottom w:val="nil"/>
              <w:right w:val="nil"/>
            </w:tcBorders>
            <w:shd w:val="clear" w:color="auto" w:fill="auto"/>
          </w:tcPr>
          <w:p w14:paraId="28E00391" w14:textId="77777777" w:rsidR="008749B7" w:rsidRDefault="008749B7" w:rsidP="004200C6">
            <w:pPr>
              <w:jc w:val="center"/>
              <w:rPr>
                <w:rFonts w:eastAsiaTheme="minorEastAsia"/>
              </w:rPr>
            </w:pPr>
            <w:r>
              <w:rPr>
                <w:rFonts w:eastAsiaTheme="minorEastAsia"/>
              </w:rPr>
              <w:t>4.9</w:t>
            </w:r>
          </w:p>
        </w:tc>
        <w:tc>
          <w:tcPr>
            <w:tcW w:w="1623" w:type="dxa"/>
            <w:gridSpan w:val="2"/>
            <w:tcBorders>
              <w:top w:val="nil"/>
              <w:left w:val="nil"/>
              <w:bottom w:val="nil"/>
              <w:right w:val="nil"/>
            </w:tcBorders>
            <w:shd w:val="clear" w:color="auto" w:fill="auto"/>
          </w:tcPr>
          <w:p w14:paraId="34F5A320" w14:textId="77777777" w:rsidR="008749B7" w:rsidRDefault="008749B7" w:rsidP="004200C6">
            <w:pPr>
              <w:jc w:val="center"/>
              <w:rPr>
                <w:rFonts w:eastAsiaTheme="minorEastAsia"/>
              </w:rPr>
            </w:pPr>
            <w:r>
              <w:rPr>
                <w:rFonts w:eastAsiaTheme="minorEastAsia"/>
              </w:rPr>
              <w:t>2.7</w:t>
            </w:r>
          </w:p>
        </w:tc>
      </w:tr>
      <w:tr w:rsidR="008749B7" w14:paraId="39BB68B0" w14:textId="77777777" w:rsidTr="004200C6">
        <w:tc>
          <w:tcPr>
            <w:tcW w:w="6009" w:type="dxa"/>
            <w:gridSpan w:val="2"/>
            <w:tcBorders>
              <w:top w:val="nil"/>
              <w:left w:val="nil"/>
              <w:bottom w:val="nil"/>
              <w:right w:val="nil"/>
            </w:tcBorders>
            <w:shd w:val="clear" w:color="auto" w:fill="auto"/>
          </w:tcPr>
          <w:p w14:paraId="170657C3" w14:textId="77777777" w:rsidR="008749B7" w:rsidRDefault="008749B7" w:rsidP="004200C6">
            <w:pPr>
              <w:rPr>
                <w:rFonts w:eastAsiaTheme="minorEastAsia"/>
              </w:rPr>
            </w:pPr>
            <w:r>
              <w:rPr>
                <w:rFonts w:eastAsiaTheme="minorEastAsia"/>
              </w:rPr>
              <w:t>Trade Policy</w:t>
            </w:r>
          </w:p>
        </w:tc>
        <w:tc>
          <w:tcPr>
            <w:tcW w:w="1710" w:type="dxa"/>
            <w:tcBorders>
              <w:top w:val="nil"/>
              <w:left w:val="nil"/>
              <w:bottom w:val="nil"/>
              <w:right w:val="nil"/>
            </w:tcBorders>
            <w:shd w:val="clear" w:color="auto" w:fill="auto"/>
          </w:tcPr>
          <w:p w14:paraId="69619E77" w14:textId="77777777" w:rsidR="008749B7" w:rsidRDefault="008749B7" w:rsidP="004200C6">
            <w:pPr>
              <w:jc w:val="center"/>
              <w:rPr>
                <w:rFonts w:eastAsiaTheme="minorEastAsia"/>
              </w:rPr>
            </w:pPr>
            <w:r>
              <w:rPr>
                <w:rFonts w:eastAsiaTheme="minorEastAsia"/>
              </w:rPr>
              <w:t>2.8</w:t>
            </w:r>
          </w:p>
        </w:tc>
        <w:tc>
          <w:tcPr>
            <w:tcW w:w="1623" w:type="dxa"/>
            <w:gridSpan w:val="2"/>
            <w:tcBorders>
              <w:top w:val="nil"/>
              <w:left w:val="nil"/>
              <w:bottom w:val="nil"/>
              <w:right w:val="nil"/>
            </w:tcBorders>
            <w:shd w:val="clear" w:color="auto" w:fill="auto"/>
          </w:tcPr>
          <w:p w14:paraId="61093822" w14:textId="77777777" w:rsidR="008749B7" w:rsidRDefault="008749B7" w:rsidP="004200C6">
            <w:pPr>
              <w:jc w:val="center"/>
              <w:rPr>
                <w:rFonts w:eastAsiaTheme="minorEastAsia"/>
              </w:rPr>
            </w:pPr>
            <w:r>
              <w:rPr>
                <w:rFonts w:eastAsiaTheme="minorEastAsia"/>
              </w:rPr>
              <w:t>6.0</w:t>
            </w:r>
          </w:p>
        </w:tc>
      </w:tr>
      <w:tr w:rsidR="008749B7" w14:paraId="1D6BFEE3" w14:textId="77777777" w:rsidTr="004200C6">
        <w:tc>
          <w:tcPr>
            <w:tcW w:w="6009" w:type="dxa"/>
            <w:gridSpan w:val="2"/>
            <w:tcBorders>
              <w:top w:val="nil"/>
              <w:left w:val="nil"/>
              <w:bottom w:val="nil"/>
              <w:right w:val="nil"/>
            </w:tcBorders>
            <w:shd w:val="clear" w:color="auto" w:fill="auto"/>
          </w:tcPr>
          <w:p w14:paraId="65ABF6D6" w14:textId="77777777" w:rsidR="008749B7" w:rsidRDefault="008749B7" w:rsidP="004200C6">
            <w:pPr>
              <w:rPr>
                <w:rFonts w:eastAsiaTheme="minorEastAsia"/>
              </w:rPr>
            </w:pPr>
            <w:r>
              <w:rPr>
                <w:rFonts w:eastAsiaTheme="minorEastAsia"/>
              </w:rPr>
              <w:t>Healthcare Policy</w:t>
            </w:r>
          </w:p>
        </w:tc>
        <w:tc>
          <w:tcPr>
            <w:tcW w:w="1710" w:type="dxa"/>
            <w:tcBorders>
              <w:top w:val="nil"/>
              <w:left w:val="nil"/>
              <w:bottom w:val="nil"/>
              <w:right w:val="nil"/>
            </w:tcBorders>
            <w:shd w:val="clear" w:color="auto" w:fill="auto"/>
          </w:tcPr>
          <w:p w14:paraId="112953D9" w14:textId="77777777" w:rsidR="008749B7" w:rsidRDefault="008749B7" w:rsidP="004200C6">
            <w:pPr>
              <w:jc w:val="center"/>
              <w:rPr>
                <w:rFonts w:eastAsiaTheme="minorEastAsia"/>
              </w:rPr>
            </w:pPr>
            <w:r>
              <w:rPr>
                <w:rFonts w:eastAsiaTheme="minorEastAsia"/>
              </w:rPr>
              <w:t>3.6</w:t>
            </w:r>
          </w:p>
        </w:tc>
        <w:tc>
          <w:tcPr>
            <w:tcW w:w="1623" w:type="dxa"/>
            <w:gridSpan w:val="2"/>
            <w:tcBorders>
              <w:top w:val="nil"/>
              <w:left w:val="nil"/>
              <w:bottom w:val="nil"/>
              <w:right w:val="nil"/>
            </w:tcBorders>
            <w:shd w:val="clear" w:color="auto" w:fill="auto"/>
          </w:tcPr>
          <w:p w14:paraId="79827914" w14:textId="77777777" w:rsidR="008749B7" w:rsidRDefault="008749B7" w:rsidP="004200C6">
            <w:pPr>
              <w:jc w:val="center"/>
              <w:rPr>
                <w:rFonts w:eastAsiaTheme="minorEastAsia"/>
              </w:rPr>
            </w:pPr>
            <w:r>
              <w:rPr>
                <w:rFonts w:eastAsiaTheme="minorEastAsia"/>
              </w:rPr>
              <w:t>8.5</w:t>
            </w:r>
          </w:p>
        </w:tc>
      </w:tr>
      <w:tr w:rsidR="008749B7" w14:paraId="3FC0BD5D" w14:textId="77777777" w:rsidTr="004200C6">
        <w:tc>
          <w:tcPr>
            <w:tcW w:w="6009" w:type="dxa"/>
            <w:gridSpan w:val="2"/>
            <w:tcBorders>
              <w:top w:val="nil"/>
              <w:left w:val="nil"/>
              <w:bottom w:val="nil"/>
              <w:right w:val="nil"/>
            </w:tcBorders>
            <w:shd w:val="clear" w:color="auto" w:fill="auto"/>
          </w:tcPr>
          <w:p w14:paraId="531DFF70" w14:textId="77777777" w:rsidR="008749B7" w:rsidRDefault="008749B7" w:rsidP="004200C6">
            <w:pPr>
              <w:rPr>
                <w:rFonts w:eastAsiaTheme="minorEastAsia"/>
              </w:rPr>
            </w:pPr>
            <w:r>
              <w:rPr>
                <w:rFonts w:eastAsiaTheme="minorEastAsia"/>
              </w:rPr>
              <w:t>Food and Drug Policy</w:t>
            </w:r>
          </w:p>
        </w:tc>
        <w:tc>
          <w:tcPr>
            <w:tcW w:w="1710" w:type="dxa"/>
            <w:tcBorders>
              <w:top w:val="nil"/>
              <w:left w:val="nil"/>
              <w:bottom w:val="nil"/>
              <w:right w:val="nil"/>
            </w:tcBorders>
            <w:shd w:val="clear" w:color="auto" w:fill="auto"/>
          </w:tcPr>
          <w:p w14:paraId="40DD55A3" w14:textId="77777777" w:rsidR="008749B7" w:rsidRDefault="008749B7" w:rsidP="004200C6">
            <w:pPr>
              <w:jc w:val="center"/>
              <w:rPr>
                <w:rFonts w:eastAsiaTheme="minorEastAsia"/>
              </w:rPr>
            </w:pPr>
            <w:r>
              <w:rPr>
                <w:rFonts w:eastAsiaTheme="minorEastAsia"/>
              </w:rPr>
              <w:t>1.3</w:t>
            </w:r>
          </w:p>
        </w:tc>
        <w:tc>
          <w:tcPr>
            <w:tcW w:w="1623" w:type="dxa"/>
            <w:gridSpan w:val="2"/>
            <w:tcBorders>
              <w:top w:val="nil"/>
              <w:left w:val="nil"/>
              <w:bottom w:val="nil"/>
              <w:right w:val="nil"/>
            </w:tcBorders>
            <w:shd w:val="clear" w:color="auto" w:fill="auto"/>
          </w:tcPr>
          <w:p w14:paraId="062B21EA" w14:textId="77777777" w:rsidR="008749B7" w:rsidRDefault="008749B7" w:rsidP="004200C6">
            <w:pPr>
              <w:jc w:val="center"/>
              <w:rPr>
                <w:rFonts w:eastAsiaTheme="minorEastAsia"/>
              </w:rPr>
            </w:pPr>
            <w:r>
              <w:rPr>
                <w:rFonts w:eastAsiaTheme="minorEastAsia"/>
              </w:rPr>
              <w:t>1.0</w:t>
            </w:r>
          </w:p>
        </w:tc>
      </w:tr>
      <w:tr w:rsidR="008749B7" w14:paraId="5B7CE3A3" w14:textId="77777777" w:rsidTr="004200C6">
        <w:tc>
          <w:tcPr>
            <w:tcW w:w="6009" w:type="dxa"/>
            <w:gridSpan w:val="2"/>
            <w:tcBorders>
              <w:top w:val="nil"/>
              <w:left w:val="nil"/>
              <w:bottom w:val="nil"/>
              <w:right w:val="nil"/>
            </w:tcBorders>
            <w:shd w:val="clear" w:color="auto" w:fill="auto"/>
          </w:tcPr>
          <w:p w14:paraId="602D6AD4" w14:textId="77777777" w:rsidR="008749B7" w:rsidRDefault="008749B7" w:rsidP="004200C6">
            <w:pPr>
              <w:rPr>
                <w:rFonts w:eastAsiaTheme="minorEastAsia"/>
              </w:rPr>
            </w:pPr>
            <w:r>
              <w:rPr>
                <w:rFonts w:eastAsiaTheme="minorEastAsia"/>
              </w:rPr>
              <w:t>Transportation, Infrastructure, and Public Utilities</w:t>
            </w:r>
          </w:p>
        </w:tc>
        <w:tc>
          <w:tcPr>
            <w:tcW w:w="1710" w:type="dxa"/>
            <w:tcBorders>
              <w:top w:val="nil"/>
              <w:left w:val="nil"/>
              <w:bottom w:val="nil"/>
              <w:right w:val="nil"/>
            </w:tcBorders>
            <w:shd w:val="clear" w:color="auto" w:fill="auto"/>
          </w:tcPr>
          <w:p w14:paraId="4968433F" w14:textId="77777777" w:rsidR="008749B7" w:rsidRDefault="008749B7" w:rsidP="004200C6">
            <w:pPr>
              <w:jc w:val="center"/>
              <w:rPr>
                <w:rFonts w:eastAsiaTheme="minorEastAsia"/>
              </w:rPr>
            </w:pPr>
            <w:r>
              <w:rPr>
                <w:rFonts w:eastAsiaTheme="minorEastAsia"/>
              </w:rPr>
              <w:t>1.3</w:t>
            </w:r>
          </w:p>
        </w:tc>
        <w:tc>
          <w:tcPr>
            <w:tcW w:w="1623" w:type="dxa"/>
            <w:gridSpan w:val="2"/>
            <w:tcBorders>
              <w:top w:val="nil"/>
              <w:left w:val="nil"/>
              <w:bottom w:val="nil"/>
              <w:right w:val="nil"/>
            </w:tcBorders>
            <w:shd w:val="clear" w:color="auto" w:fill="auto"/>
          </w:tcPr>
          <w:p w14:paraId="3FE8A7DF" w14:textId="77777777" w:rsidR="008749B7" w:rsidRDefault="008749B7" w:rsidP="004200C6">
            <w:pPr>
              <w:jc w:val="center"/>
              <w:rPr>
                <w:rFonts w:eastAsiaTheme="minorEastAsia"/>
              </w:rPr>
            </w:pPr>
            <w:r>
              <w:rPr>
                <w:rFonts w:eastAsiaTheme="minorEastAsia"/>
              </w:rPr>
              <w:t>2.6</w:t>
            </w:r>
          </w:p>
        </w:tc>
      </w:tr>
      <w:tr w:rsidR="008749B7" w14:paraId="35ABB487" w14:textId="77777777" w:rsidTr="004200C6">
        <w:tc>
          <w:tcPr>
            <w:tcW w:w="6009" w:type="dxa"/>
            <w:gridSpan w:val="2"/>
            <w:tcBorders>
              <w:top w:val="nil"/>
              <w:left w:val="nil"/>
              <w:bottom w:val="nil"/>
              <w:right w:val="nil"/>
            </w:tcBorders>
            <w:shd w:val="clear" w:color="auto" w:fill="auto"/>
          </w:tcPr>
          <w:p w14:paraId="6135C4F2" w14:textId="77777777" w:rsidR="008749B7" w:rsidRDefault="008749B7" w:rsidP="004200C6">
            <w:pPr>
              <w:rPr>
                <w:rFonts w:eastAsiaTheme="minorEastAsia"/>
              </w:rPr>
            </w:pPr>
            <w:r>
              <w:rPr>
                <w:rFonts w:eastAsiaTheme="minorEastAsia"/>
                <w:color w:val="000000" w:themeColor="text1"/>
              </w:rPr>
              <w:t>Elections and Political Governance</w:t>
            </w:r>
          </w:p>
        </w:tc>
        <w:tc>
          <w:tcPr>
            <w:tcW w:w="1710" w:type="dxa"/>
            <w:tcBorders>
              <w:top w:val="nil"/>
              <w:left w:val="nil"/>
              <w:bottom w:val="nil"/>
              <w:right w:val="nil"/>
            </w:tcBorders>
            <w:shd w:val="clear" w:color="auto" w:fill="auto"/>
          </w:tcPr>
          <w:p w14:paraId="66D164DC" w14:textId="77777777" w:rsidR="008749B7" w:rsidRDefault="008749B7" w:rsidP="004200C6">
            <w:pPr>
              <w:jc w:val="center"/>
              <w:rPr>
                <w:rFonts w:eastAsiaTheme="minorEastAsia"/>
              </w:rPr>
            </w:pPr>
            <w:r>
              <w:rPr>
                <w:rFonts w:eastAsiaTheme="minorEastAsia"/>
              </w:rPr>
              <w:t>3.0</w:t>
            </w:r>
          </w:p>
        </w:tc>
        <w:tc>
          <w:tcPr>
            <w:tcW w:w="1623" w:type="dxa"/>
            <w:gridSpan w:val="2"/>
            <w:tcBorders>
              <w:top w:val="nil"/>
              <w:left w:val="nil"/>
              <w:bottom w:val="nil"/>
              <w:right w:val="nil"/>
            </w:tcBorders>
            <w:shd w:val="clear" w:color="auto" w:fill="auto"/>
          </w:tcPr>
          <w:p w14:paraId="0A1729D0" w14:textId="77777777" w:rsidR="008749B7" w:rsidRDefault="008749B7" w:rsidP="004200C6">
            <w:pPr>
              <w:jc w:val="center"/>
              <w:rPr>
                <w:rFonts w:eastAsiaTheme="minorEastAsia"/>
              </w:rPr>
            </w:pPr>
            <w:r>
              <w:rPr>
                <w:rFonts w:eastAsiaTheme="minorEastAsia"/>
              </w:rPr>
              <w:t>8.2</w:t>
            </w:r>
          </w:p>
        </w:tc>
      </w:tr>
      <w:tr w:rsidR="008749B7" w14:paraId="27A13B7B" w14:textId="77777777" w:rsidTr="004200C6">
        <w:tc>
          <w:tcPr>
            <w:tcW w:w="6009" w:type="dxa"/>
            <w:gridSpan w:val="2"/>
            <w:tcBorders>
              <w:top w:val="nil"/>
              <w:left w:val="nil"/>
              <w:bottom w:val="nil"/>
              <w:right w:val="nil"/>
            </w:tcBorders>
            <w:shd w:val="clear" w:color="auto" w:fill="auto"/>
          </w:tcPr>
          <w:p w14:paraId="17398014" w14:textId="77777777" w:rsidR="008749B7" w:rsidRDefault="008749B7" w:rsidP="004200C6">
            <w:pPr>
              <w:rPr>
                <w:rFonts w:eastAsiaTheme="minorEastAsia"/>
                <w:color w:val="000000" w:themeColor="text1"/>
              </w:rPr>
            </w:pPr>
            <w:r>
              <w:rPr>
                <w:rFonts w:eastAsiaTheme="minorEastAsia"/>
                <w:color w:val="000000" w:themeColor="text1"/>
              </w:rPr>
              <w:t>Agricultural Policy</w:t>
            </w:r>
          </w:p>
        </w:tc>
        <w:tc>
          <w:tcPr>
            <w:tcW w:w="1710" w:type="dxa"/>
            <w:tcBorders>
              <w:top w:val="nil"/>
              <w:left w:val="nil"/>
              <w:bottom w:val="nil"/>
              <w:right w:val="nil"/>
            </w:tcBorders>
            <w:shd w:val="clear" w:color="auto" w:fill="auto"/>
          </w:tcPr>
          <w:p w14:paraId="13F33B5C" w14:textId="77777777" w:rsidR="008749B7" w:rsidRDefault="008749B7" w:rsidP="004200C6">
            <w:pPr>
              <w:jc w:val="center"/>
              <w:rPr>
                <w:rFonts w:eastAsiaTheme="minorEastAsia"/>
              </w:rPr>
            </w:pPr>
            <w:r>
              <w:rPr>
                <w:rFonts w:eastAsiaTheme="minorEastAsia"/>
              </w:rPr>
              <w:t>0.2</w:t>
            </w:r>
          </w:p>
        </w:tc>
        <w:tc>
          <w:tcPr>
            <w:tcW w:w="1623" w:type="dxa"/>
            <w:gridSpan w:val="2"/>
            <w:tcBorders>
              <w:top w:val="nil"/>
              <w:left w:val="nil"/>
              <w:bottom w:val="nil"/>
              <w:right w:val="nil"/>
            </w:tcBorders>
            <w:shd w:val="clear" w:color="auto" w:fill="auto"/>
          </w:tcPr>
          <w:p w14:paraId="753905D2" w14:textId="77777777" w:rsidR="008749B7" w:rsidRDefault="008749B7" w:rsidP="004200C6">
            <w:pPr>
              <w:jc w:val="center"/>
              <w:rPr>
                <w:rFonts w:eastAsiaTheme="minorEastAsia"/>
              </w:rPr>
            </w:pPr>
            <w:r>
              <w:rPr>
                <w:rFonts w:eastAsiaTheme="minorEastAsia"/>
              </w:rPr>
              <w:t>0.6</w:t>
            </w:r>
          </w:p>
        </w:tc>
      </w:tr>
      <w:tr w:rsidR="008749B7" w14:paraId="46DB6E4E" w14:textId="77777777" w:rsidTr="004200C6">
        <w:tc>
          <w:tcPr>
            <w:tcW w:w="6009" w:type="dxa"/>
            <w:gridSpan w:val="2"/>
            <w:tcBorders>
              <w:top w:val="nil"/>
              <w:left w:val="nil"/>
              <w:bottom w:val="double" w:sz="4" w:space="0" w:color="000000"/>
              <w:right w:val="nil"/>
            </w:tcBorders>
            <w:shd w:val="clear" w:color="auto" w:fill="auto"/>
          </w:tcPr>
          <w:p w14:paraId="6F73B0A0" w14:textId="77777777" w:rsidR="008749B7" w:rsidRDefault="008749B7" w:rsidP="004200C6">
            <w:pPr>
              <w:rPr>
                <w:rFonts w:eastAsiaTheme="minorEastAsia"/>
                <w:b/>
                <w:color w:val="000000" w:themeColor="text1"/>
                <w:sz w:val="10"/>
                <w:szCs w:val="10"/>
              </w:rPr>
            </w:pPr>
          </w:p>
        </w:tc>
        <w:tc>
          <w:tcPr>
            <w:tcW w:w="1710" w:type="dxa"/>
            <w:tcBorders>
              <w:top w:val="nil"/>
              <w:left w:val="nil"/>
              <w:bottom w:val="double" w:sz="4" w:space="0" w:color="000000"/>
              <w:right w:val="nil"/>
            </w:tcBorders>
            <w:shd w:val="clear" w:color="auto" w:fill="auto"/>
          </w:tcPr>
          <w:p w14:paraId="444BED40" w14:textId="77777777" w:rsidR="008749B7" w:rsidRDefault="008749B7" w:rsidP="004200C6">
            <w:pPr>
              <w:jc w:val="center"/>
              <w:rPr>
                <w:rFonts w:eastAsiaTheme="minorEastAsia"/>
                <w:sz w:val="10"/>
                <w:szCs w:val="10"/>
              </w:rPr>
            </w:pPr>
          </w:p>
        </w:tc>
        <w:tc>
          <w:tcPr>
            <w:tcW w:w="1623" w:type="dxa"/>
            <w:gridSpan w:val="2"/>
            <w:tcBorders>
              <w:top w:val="nil"/>
              <w:left w:val="nil"/>
              <w:bottom w:val="double" w:sz="4" w:space="0" w:color="000000"/>
              <w:right w:val="nil"/>
            </w:tcBorders>
            <w:shd w:val="clear" w:color="auto" w:fill="auto"/>
          </w:tcPr>
          <w:p w14:paraId="2FD9854C" w14:textId="77777777" w:rsidR="008749B7" w:rsidRDefault="008749B7" w:rsidP="004200C6">
            <w:pPr>
              <w:jc w:val="center"/>
              <w:rPr>
                <w:rFonts w:eastAsiaTheme="minorEastAsia"/>
                <w:sz w:val="10"/>
                <w:szCs w:val="10"/>
              </w:rPr>
            </w:pPr>
          </w:p>
        </w:tc>
      </w:tr>
    </w:tbl>
    <w:p w14:paraId="3F3D096C" w14:textId="77777777" w:rsidR="008749B7" w:rsidRDefault="008749B7" w:rsidP="001B69A9">
      <w:pPr>
        <w:spacing w:after="200" w:line="276" w:lineRule="auto"/>
        <w:jc w:val="center"/>
        <w:rPr>
          <w:rFonts w:eastAsia="MS Mincho"/>
          <w:b/>
          <w:lang w:eastAsia="ja-JP"/>
        </w:rPr>
      </w:pPr>
    </w:p>
    <w:p w14:paraId="6844E340" w14:textId="175BFE72" w:rsidR="001B69A9" w:rsidRPr="001D7F7D" w:rsidRDefault="001B69A9" w:rsidP="001B69A9">
      <w:pPr>
        <w:spacing w:after="200" w:line="276" w:lineRule="auto"/>
        <w:jc w:val="center"/>
        <w:rPr>
          <w:rFonts w:eastAsia="MS Mincho"/>
          <w:b/>
          <w:lang w:eastAsia="ja-JP"/>
        </w:rPr>
      </w:pPr>
      <w:r w:rsidRPr="002E6B9A">
        <w:rPr>
          <w:rFonts w:eastAsia="MS Mincho"/>
          <w:b/>
          <w:lang w:eastAsia="ja-JP"/>
        </w:rPr>
        <w:t>Appendix</w:t>
      </w:r>
      <w:r>
        <w:rPr>
          <w:rFonts w:eastAsia="MS Mincho"/>
          <w:b/>
          <w:lang w:eastAsia="ja-JP"/>
        </w:rPr>
        <w:t xml:space="preserve"> B. Category-Specific Term Sets</w:t>
      </w:r>
    </w:p>
    <w:p w14:paraId="35CEEE9C" w14:textId="63D04181" w:rsidR="001B69A9" w:rsidRDefault="001B69A9" w:rsidP="001B69A9">
      <w:pPr>
        <w:widowControl w:val="0"/>
        <w:autoSpaceDE w:val="0"/>
        <w:autoSpaceDN w:val="0"/>
        <w:adjustRightInd w:val="0"/>
        <w:jc w:val="both"/>
        <w:rPr>
          <w:rFonts w:eastAsia="MS Mincho"/>
          <w:lang w:eastAsia="ja-JP"/>
        </w:rPr>
      </w:pPr>
      <w:r>
        <w:rPr>
          <w:rFonts w:eastAsia="MS Mincho"/>
          <w:lang w:eastAsia="ja-JP"/>
        </w:rPr>
        <w:tab/>
      </w:r>
      <w:r w:rsidR="00D932AE">
        <w:rPr>
          <w:rFonts w:eastAsia="MS Mincho"/>
          <w:lang w:eastAsia="ja-JP"/>
        </w:rPr>
        <w:t>Our t</w:t>
      </w:r>
      <w:r>
        <w:rPr>
          <w:rFonts w:eastAsia="MS Mincho"/>
          <w:lang w:eastAsia="ja-JP"/>
        </w:rPr>
        <w:t xml:space="preserve">erm sets </w:t>
      </w:r>
      <w:r w:rsidR="00D932AE">
        <w:rPr>
          <w:rFonts w:eastAsia="MS Mincho"/>
          <w:lang w:eastAsia="ja-JP"/>
        </w:rPr>
        <w:t xml:space="preserve">for the Policy-Related Categories </w:t>
      </w:r>
      <w:r>
        <w:rPr>
          <w:rFonts w:eastAsia="MS Mincho"/>
          <w:lang w:eastAsia="ja-JP"/>
        </w:rPr>
        <w:t xml:space="preserve">build on Baker, Bloom and Davis (2016) and Davis (2017). </w:t>
      </w:r>
      <w:r w:rsidR="00D932AE">
        <w:rPr>
          <w:rFonts w:eastAsia="MS Mincho"/>
          <w:lang w:eastAsia="ja-JP"/>
        </w:rPr>
        <w:t xml:space="preserve">We developed terms sets for the General Economic Categories for this paper. We group related terms into topics within categories, as indicated by { }. These topical groupings play no role in counting methods or analysis, but we find them helpful in conceptualizing the boundaries of each category. </w:t>
      </w:r>
      <w:r>
        <w:rPr>
          <w:rFonts w:eastAsia="MS Mincho"/>
          <w:lang w:eastAsia="ja-JP"/>
        </w:rPr>
        <w:t xml:space="preserve">In defining our </w:t>
      </w:r>
      <w:r>
        <w:rPr>
          <w:rFonts w:eastAsia="MS Mincho"/>
          <w:b/>
          <w:lang w:eastAsia="ja-JP"/>
        </w:rPr>
        <w:t xml:space="preserve">Regulation </w:t>
      </w:r>
      <w:r>
        <w:rPr>
          <w:rFonts w:eastAsia="MS Mincho"/>
          <w:lang w:eastAsia="ja-JP"/>
        </w:rPr>
        <w:t>term set, we hit a ceiling on the number of terms per search query. Given this constraint, we limit our</w:t>
      </w:r>
      <w:r w:rsidR="00671B35">
        <w:rPr>
          <w:rFonts w:eastAsia="MS Mincho"/>
          <w:lang w:eastAsia="ja-JP"/>
        </w:rPr>
        <w:t xml:space="preserve"> (overall)</w:t>
      </w:r>
      <w:r>
        <w:rPr>
          <w:rFonts w:eastAsia="MS Mincho"/>
          <w:lang w:eastAsia="ja-JP"/>
        </w:rPr>
        <w:t xml:space="preserve"> </w:t>
      </w:r>
      <w:r>
        <w:rPr>
          <w:rFonts w:eastAsia="MS Mincho"/>
          <w:b/>
          <w:lang w:eastAsia="ja-JP"/>
        </w:rPr>
        <w:t xml:space="preserve">Regulation </w:t>
      </w:r>
      <w:r>
        <w:rPr>
          <w:rFonts w:eastAsia="MS Mincho"/>
          <w:lang w:eastAsia="ja-JP"/>
        </w:rPr>
        <w:t>term set to the union of terms in the most common regul</w:t>
      </w:r>
      <w:r w:rsidR="00D932AE">
        <w:rPr>
          <w:rFonts w:eastAsia="MS Mincho"/>
          <w:lang w:eastAsia="ja-JP"/>
        </w:rPr>
        <w:t>ation</w:t>
      </w:r>
      <w:r>
        <w:rPr>
          <w:rFonts w:eastAsia="MS Mincho"/>
          <w:lang w:eastAsia="ja-JP"/>
        </w:rPr>
        <w:t xml:space="preserve"> categories plus a few generic terms indicative of government regulation. </w:t>
      </w:r>
    </w:p>
    <w:p w14:paraId="5EC891EC" w14:textId="77777777" w:rsidR="001B69A9" w:rsidRPr="001D7F7D" w:rsidRDefault="001B69A9" w:rsidP="001B69A9">
      <w:pPr>
        <w:widowControl w:val="0"/>
        <w:autoSpaceDE w:val="0"/>
        <w:autoSpaceDN w:val="0"/>
        <w:adjustRightInd w:val="0"/>
        <w:jc w:val="both"/>
        <w:rPr>
          <w:rFonts w:eastAsia="MS Mincho"/>
          <w:lang w:eastAsia="ja-JP"/>
        </w:rPr>
      </w:pPr>
    </w:p>
    <w:p w14:paraId="5EA4B7C7" w14:textId="77777777" w:rsidR="001B69A9" w:rsidRPr="001D7F7D" w:rsidRDefault="001B69A9" w:rsidP="001B69A9">
      <w:pPr>
        <w:widowControl w:val="0"/>
        <w:autoSpaceDE w:val="0"/>
        <w:autoSpaceDN w:val="0"/>
        <w:adjustRightInd w:val="0"/>
        <w:spacing w:line="360" w:lineRule="auto"/>
        <w:jc w:val="both"/>
        <w:rPr>
          <w:rFonts w:eastAsia="MS Mincho"/>
          <w:b/>
          <w:u w:val="single"/>
          <w:lang w:eastAsia="ja-JP"/>
        </w:rPr>
      </w:pPr>
      <w:r w:rsidRPr="001D7F7D">
        <w:rPr>
          <w:rFonts w:eastAsia="MS Mincho"/>
          <w:b/>
          <w:u w:val="single"/>
          <w:lang w:eastAsia="ja-JP"/>
        </w:rPr>
        <w:t>General Economic Categories</w:t>
      </w:r>
    </w:p>
    <w:p w14:paraId="02BB0925" w14:textId="097F18C8" w:rsidR="005247F4" w:rsidRDefault="001B69A9" w:rsidP="001B69A9">
      <w:pPr>
        <w:numPr>
          <w:ilvl w:val="0"/>
          <w:numId w:val="22"/>
        </w:numPr>
        <w:ind w:left="360"/>
        <w:contextualSpacing/>
        <w:jc w:val="both"/>
        <w:rPr>
          <w:rFonts w:eastAsia="MS Mincho"/>
          <w:lang w:eastAsia="ja-JP"/>
        </w:rPr>
      </w:pPr>
      <w:r w:rsidRPr="002E6B9A">
        <w:rPr>
          <w:rFonts w:eastAsia="MS Mincho"/>
          <w:b/>
          <w:lang w:eastAsia="ja-JP"/>
        </w:rPr>
        <w:t>Macroeconomic News and Outlook</w:t>
      </w:r>
      <w:r w:rsidR="0096156D">
        <w:rPr>
          <w:rFonts w:eastAsia="MS Mincho"/>
          <w:b/>
          <w:lang w:eastAsia="ja-JP"/>
        </w:rPr>
        <w:t xml:space="preserve"> – the union of the following subcategories:</w:t>
      </w:r>
    </w:p>
    <w:p w14:paraId="5C35F93C" w14:textId="477D4CB9" w:rsidR="005247F4" w:rsidRDefault="005247F4" w:rsidP="005247F4">
      <w:pPr>
        <w:numPr>
          <w:ilvl w:val="0"/>
          <w:numId w:val="22"/>
        </w:numPr>
        <w:contextualSpacing/>
        <w:jc w:val="both"/>
        <w:rPr>
          <w:rFonts w:eastAsia="MS Mincho"/>
          <w:lang w:eastAsia="ja-JP"/>
        </w:rPr>
      </w:pPr>
      <w:r>
        <w:rPr>
          <w:rFonts w:eastAsia="MS Mincho"/>
          <w:b/>
          <w:lang w:eastAsia="ja-JP"/>
        </w:rPr>
        <w:t xml:space="preserve">Broad </w:t>
      </w:r>
      <w:r w:rsidR="00CF0A2C">
        <w:rPr>
          <w:rFonts w:eastAsia="MS Mincho"/>
          <w:b/>
          <w:lang w:eastAsia="ja-JP"/>
        </w:rPr>
        <w:t xml:space="preserve">Quantity </w:t>
      </w:r>
      <w:r>
        <w:rPr>
          <w:rFonts w:eastAsia="MS Mincho"/>
          <w:b/>
          <w:lang w:eastAsia="ja-JP"/>
        </w:rPr>
        <w:t xml:space="preserve">Indicators: </w:t>
      </w:r>
      <w:r w:rsidRPr="002E6B9A">
        <w:rPr>
          <w:rFonts w:eastAsia="MS Mincho"/>
          <w:lang w:eastAsia="ja-JP"/>
        </w:rPr>
        <w:t>{</w:t>
      </w:r>
      <w:proofErr w:type="spellStart"/>
      <w:r w:rsidRPr="002E6B9A">
        <w:rPr>
          <w:rFonts w:eastAsia="MS Mincho"/>
          <w:lang w:eastAsia="ja-JP"/>
        </w:rPr>
        <w:t>gdp</w:t>
      </w:r>
      <w:proofErr w:type="spellEnd"/>
      <w:r w:rsidRPr="002E6B9A">
        <w:rPr>
          <w:rFonts w:eastAsia="MS Mincho"/>
          <w:lang w:eastAsia="ja-JP"/>
        </w:rPr>
        <w:t>, economic growth},</w:t>
      </w:r>
      <w:r>
        <w:rPr>
          <w:rFonts w:eastAsia="MS Mincho"/>
          <w:lang w:eastAsia="ja-JP"/>
        </w:rPr>
        <w:t xml:space="preserve"> </w:t>
      </w:r>
      <w:r w:rsidRPr="002E6B9A">
        <w:rPr>
          <w:rFonts w:eastAsia="MS Mincho"/>
          <w:lang w:eastAsia="ja-JP"/>
        </w:rPr>
        <w:t>{depression, recession, economic crisis}, {macroeconomic indicators, macroeconomic news</w:t>
      </w:r>
      <w:r w:rsidR="003C31D3">
        <w:rPr>
          <w:rFonts w:eastAsia="MS Mincho"/>
          <w:lang w:eastAsia="ja-JP"/>
        </w:rPr>
        <w:t>, macroeconomic outlook</w:t>
      </w:r>
      <w:r w:rsidRPr="002E6B9A">
        <w:rPr>
          <w:rFonts w:eastAsia="MS Mincho"/>
          <w:lang w:eastAsia="ja-JP"/>
        </w:rPr>
        <w:t>}</w:t>
      </w:r>
      <w:r>
        <w:rPr>
          <w:rFonts w:eastAsia="MS Mincho"/>
          <w:lang w:eastAsia="ja-JP"/>
        </w:rPr>
        <w:t xml:space="preserve">, </w:t>
      </w:r>
      <w:r w:rsidR="003C31D3" w:rsidRPr="002E6B9A">
        <w:rPr>
          <w:rFonts w:eastAsia="MS Mincho"/>
          <w:lang w:eastAsia="ja-JP"/>
        </w:rPr>
        <w:t>{industrial production, ism report, manufacturing index}</w:t>
      </w:r>
      <w:r w:rsidR="003C31D3">
        <w:rPr>
          <w:rFonts w:eastAsia="MS Mincho"/>
          <w:lang w:eastAsia="ja-JP"/>
        </w:rPr>
        <w:t xml:space="preserve">, </w:t>
      </w:r>
      <w:r w:rsidRPr="002E6B9A">
        <w:rPr>
          <w:rFonts w:eastAsia="MS Mincho"/>
          <w:lang w:eastAsia="ja-JP"/>
        </w:rPr>
        <w:t>{rail loadings, railroad loadings}</w:t>
      </w:r>
    </w:p>
    <w:p w14:paraId="4B8333D5" w14:textId="4B866864" w:rsidR="005247F4" w:rsidRDefault="005247F4" w:rsidP="005247F4">
      <w:pPr>
        <w:numPr>
          <w:ilvl w:val="0"/>
          <w:numId w:val="22"/>
        </w:numPr>
        <w:contextualSpacing/>
        <w:jc w:val="both"/>
        <w:rPr>
          <w:rFonts w:eastAsia="MS Mincho"/>
          <w:lang w:eastAsia="ja-JP"/>
        </w:rPr>
      </w:pPr>
      <w:r>
        <w:rPr>
          <w:rFonts w:eastAsia="MS Mincho"/>
          <w:b/>
          <w:lang w:eastAsia="ja-JP"/>
        </w:rPr>
        <w:t xml:space="preserve">Inflation: </w:t>
      </w:r>
      <w:r w:rsidRPr="002E6B9A">
        <w:rPr>
          <w:rFonts w:eastAsia="MS Mincho"/>
          <w:lang w:eastAsia="ja-JP"/>
        </w:rPr>
        <w:t>{</w:t>
      </w:r>
      <w:proofErr w:type="spellStart"/>
      <w:r w:rsidRPr="002E6B9A">
        <w:rPr>
          <w:rFonts w:eastAsia="MS Mincho"/>
          <w:lang w:eastAsia="ja-JP"/>
        </w:rPr>
        <w:t>cpi</w:t>
      </w:r>
      <w:proofErr w:type="spellEnd"/>
      <w:r w:rsidRPr="002E6B9A">
        <w:rPr>
          <w:rFonts w:eastAsia="MS Mincho"/>
          <w:lang w:eastAsia="ja-JP"/>
        </w:rPr>
        <w:t xml:space="preserve">, inflation, consumer prices, </w:t>
      </w:r>
      <w:proofErr w:type="spellStart"/>
      <w:r w:rsidRPr="002E6B9A">
        <w:rPr>
          <w:rFonts w:eastAsia="MS Mincho"/>
          <w:lang w:eastAsia="ja-JP"/>
        </w:rPr>
        <w:t>ppi</w:t>
      </w:r>
      <w:proofErr w:type="spellEnd"/>
      <w:r w:rsidRPr="002E6B9A">
        <w:rPr>
          <w:rFonts w:eastAsia="MS Mincho"/>
          <w:lang w:eastAsia="ja-JP"/>
        </w:rPr>
        <w:t>, producer prices}</w:t>
      </w:r>
      <w:r w:rsidR="003C31D3">
        <w:rPr>
          <w:rFonts w:eastAsia="MS Mincho"/>
          <w:lang w:eastAsia="ja-JP"/>
        </w:rPr>
        <w:t>, {gold, silver}</w:t>
      </w:r>
    </w:p>
    <w:p w14:paraId="15BB87DD" w14:textId="36BC385A" w:rsidR="005247F4" w:rsidRDefault="005247F4" w:rsidP="005247F4">
      <w:pPr>
        <w:numPr>
          <w:ilvl w:val="0"/>
          <w:numId w:val="22"/>
        </w:numPr>
        <w:contextualSpacing/>
        <w:jc w:val="both"/>
        <w:rPr>
          <w:rFonts w:eastAsia="MS Mincho"/>
          <w:lang w:eastAsia="ja-JP"/>
        </w:rPr>
      </w:pPr>
      <w:r>
        <w:rPr>
          <w:rFonts w:eastAsia="MS Mincho"/>
          <w:b/>
          <w:lang w:eastAsia="ja-JP"/>
        </w:rPr>
        <w:t xml:space="preserve">Interest Rates: </w:t>
      </w:r>
      <w:r w:rsidRPr="002E6B9A">
        <w:rPr>
          <w:rFonts w:eastAsia="MS Mincho"/>
          <w:lang w:eastAsia="ja-JP"/>
        </w:rPr>
        <w:t>{interest rates, yield curve, fed funds rate, overnight rate, repo rate, T-bill rate, bond rate, bond yield}</w:t>
      </w:r>
    </w:p>
    <w:p w14:paraId="67B7F013" w14:textId="369DA3D0" w:rsidR="005247F4" w:rsidRDefault="003C31D3" w:rsidP="005247F4">
      <w:pPr>
        <w:numPr>
          <w:ilvl w:val="0"/>
          <w:numId w:val="22"/>
        </w:numPr>
        <w:contextualSpacing/>
        <w:jc w:val="both"/>
        <w:rPr>
          <w:rFonts w:eastAsia="MS Mincho"/>
          <w:lang w:eastAsia="ja-JP"/>
        </w:rPr>
      </w:pPr>
      <w:r>
        <w:rPr>
          <w:rFonts w:eastAsia="MS Mincho"/>
          <w:b/>
          <w:lang w:eastAsia="ja-JP"/>
        </w:rPr>
        <w:t xml:space="preserve">Other </w:t>
      </w:r>
      <w:r w:rsidR="005247F4">
        <w:rPr>
          <w:rFonts w:eastAsia="MS Mincho"/>
          <w:b/>
          <w:lang w:eastAsia="ja-JP"/>
        </w:rPr>
        <w:t xml:space="preserve">Financial </w:t>
      </w:r>
      <w:r>
        <w:rPr>
          <w:rFonts w:eastAsia="MS Mincho"/>
          <w:b/>
          <w:lang w:eastAsia="ja-JP"/>
        </w:rPr>
        <w:t>Indicators</w:t>
      </w:r>
      <w:r w:rsidR="005247F4">
        <w:rPr>
          <w:rFonts w:eastAsia="MS Mincho"/>
          <w:b/>
          <w:lang w:eastAsia="ja-JP"/>
        </w:rPr>
        <w:t>:</w:t>
      </w:r>
      <w:r w:rsidR="005247F4">
        <w:rPr>
          <w:rFonts w:eastAsia="MS Mincho"/>
          <w:lang w:eastAsia="ja-JP"/>
        </w:rPr>
        <w:t xml:space="preserve"> {bank loans</w:t>
      </w:r>
      <w:r>
        <w:rPr>
          <w:rFonts w:eastAsia="MS Mincho"/>
          <w:lang w:eastAsia="ja-JP"/>
        </w:rPr>
        <w:t>, mortgage loans</w:t>
      </w:r>
      <w:r w:rsidR="005247F4">
        <w:rPr>
          <w:rFonts w:eastAsia="MS Mincho"/>
          <w:lang w:eastAsia="ja-JP"/>
        </w:rPr>
        <w:t>}</w:t>
      </w:r>
      <w:r>
        <w:rPr>
          <w:rFonts w:eastAsia="MS Mincho"/>
          <w:lang w:eastAsia="ja-JP"/>
        </w:rPr>
        <w:t xml:space="preserve">, {credit spread}, </w:t>
      </w:r>
      <w:r w:rsidRPr="002E6B9A">
        <w:rPr>
          <w:rFonts w:eastAsia="MS Mincho"/>
          <w:lang w:eastAsia="ja-JP"/>
        </w:rPr>
        <w:t>{household credit, household savings, household debt, household borrowing, consumer credit}</w:t>
      </w:r>
      <w:r>
        <w:rPr>
          <w:rFonts w:eastAsia="MS Mincho"/>
          <w:lang w:eastAsia="ja-JP"/>
        </w:rPr>
        <w:t>, {business credit, business borrowing, business debt}</w:t>
      </w:r>
    </w:p>
    <w:p w14:paraId="3D94062A" w14:textId="18010A51" w:rsidR="005247F4" w:rsidRPr="005247F4" w:rsidRDefault="005247F4" w:rsidP="005247F4">
      <w:pPr>
        <w:numPr>
          <w:ilvl w:val="0"/>
          <w:numId w:val="22"/>
        </w:numPr>
        <w:contextualSpacing/>
        <w:jc w:val="both"/>
        <w:rPr>
          <w:rFonts w:eastAsia="MS Mincho"/>
          <w:lang w:eastAsia="ja-JP"/>
        </w:rPr>
      </w:pPr>
      <w:r>
        <w:rPr>
          <w:rFonts w:eastAsia="MS Mincho"/>
          <w:b/>
          <w:lang w:eastAsia="ja-JP"/>
        </w:rPr>
        <w:t xml:space="preserve">Labor Markets: </w:t>
      </w:r>
      <w:r w:rsidRPr="002E6B9A">
        <w:rPr>
          <w:rFonts w:eastAsia="MS Mincho"/>
          <w:lang w:eastAsia="ja-JP"/>
        </w:rPr>
        <w:t xml:space="preserve">{labor force, workforce, unemployment, employment, unemployment insurance, </w:t>
      </w:r>
      <w:proofErr w:type="spellStart"/>
      <w:r w:rsidRPr="002E6B9A">
        <w:rPr>
          <w:rFonts w:eastAsia="MS Mincho"/>
          <w:lang w:eastAsia="ja-JP"/>
        </w:rPr>
        <w:t>ui</w:t>
      </w:r>
      <w:proofErr w:type="spellEnd"/>
      <w:r w:rsidRPr="002E6B9A">
        <w:rPr>
          <w:rFonts w:eastAsia="MS Mincho"/>
          <w:lang w:eastAsia="ja-JP"/>
        </w:rPr>
        <w:t xml:space="preserve"> claims, jobs report, jobless claims, payroll, underemployment, quits, hires, weekly hours</w:t>
      </w:r>
      <w:r w:rsidR="0096156D">
        <w:rPr>
          <w:rFonts w:eastAsia="MS Mincho"/>
          <w:lang w:eastAsia="ja-JP"/>
        </w:rPr>
        <w:t>, labor strike</w:t>
      </w:r>
      <w:r w:rsidRPr="002E6B9A">
        <w:rPr>
          <w:rFonts w:eastAsia="MS Mincho"/>
          <w:lang w:eastAsia="ja-JP"/>
        </w:rPr>
        <w:t>}, {wages, labor income, labor earnings}</w:t>
      </w:r>
    </w:p>
    <w:p w14:paraId="07782C38" w14:textId="478111C8" w:rsidR="005247F4" w:rsidRPr="005247F4" w:rsidRDefault="005247F4" w:rsidP="005247F4">
      <w:pPr>
        <w:numPr>
          <w:ilvl w:val="0"/>
          <w:numId w:val="22"/>
        </w:numPr>
        <w:contextualSpacing/>
        <w:jc w:val="both"/>
        <w:rPr>
          <w:rFonts w:eastAsia="MS Mincho"/>
          <w:lang w:eastAsia="ja-JP"/>
        </w:rPr>
      </w:pPr>
      <w:r>
        <w:rPr>
          <w:rFonts w:eastAsia="MS Mincho"/>
          <w:b/>
          <w:lang w:eastAsia="ja-JP"/>
        </w:rPr>
        <w:t>Real Estate Markets:</w:t>
      </w:r>
      <w:r>
        <w:rPr>
          <w:rFonts w:eastAsia="MS Mincho"/>
          <w:lang w:eastAsia="ja-JP"/>
        </w:rPr>
        <w:t xml:space="preserve"> </w:t>
      </w:r>
      <w:r w:rsidRPr="002E6B9A">
        <w:rPr>
          <w:rFonts w:eastAsia="MS Mincho"/>
          <w:lang w:eastAsia="ja-JP"/>
        </w:rPr>
        <w:t>{housing prices, home prices, homebuilding, homebuilders, housing starts, home sales, building permits, residential sales, mortgages, residential construction, commercial construction, commercial real estate, real estate}</w:t>
      </w:r>
    </w:p>
    <w:p w14:paraId="2FFC807C" w14:textId="77777777" w:rsidR="003C31D3" w:rsidRDefault="003C31D3" w:rsidP="005247F4">
      <w:pPr>
        <w:numPr>
          <w:ilvl w:val="0"/>
          <w:numId w:val="22"/>
        </w:numPr>
        <w:contextualSpacing/>
        <w:jc w:val="both"/>
        <w:rPr>
          <w:rFonts w:eastAsia="MS Mincho"/>
          <w:lang w:eastAsia="ja-JP"/>
        </w:rPr>
      </w:pPr>
      <w:r>
        <w:rPr>
          <w:rFonts w:eastAsia="MS Mincho"/>
          <w:b/>
          <w:lang w:eastAsia="ja-JP"/>
        </w:rPr>
        <w:t xml:space="preserve">Trade: </w:t>
      </w:r>
      <w:r w:rsidR="001B69A9" w:rsidRPr="002E6B9A">
        <w:rPr>
          <w:rFonts w:eastAsia="MS Mincho"/>
          <w:lang w:eastAsia="ja-JP"/>
        </w:rPr>
        <w:t>{trade news, trade surplus, trade deficit, national exports, national imports}</w:t>
      </w:r>
    </w:p>
    <w:p w14:paraId="208CE137" w14:textId="7C230A88" w:rsidR="003C31D3" w:rsidRDefault="003C31D3" w:rsidP="005247F4">
      <w:pPr>
        <w:numPr>
          <w:ilvl w:val="0"/>
          <w:numId w:val="22"/>
        </w:numPr>
        <w:contextualSpacing/>
        <w:jc w:val="both"/>
        <w:rPr>
          <w:rFonts w:eastAsia="MS Mincho"/>
          <w:lang w:eastAsia="ja-JP"/>
        </w:rPr>
      </w:pPr>
      <w:r>
        <w:rPr>
          <w:rFonts w:eastAsia="MS Mincho"/>
          <w:b/>
          <w:lang w:eastAsia="ja-JP"/>
        </w:rPr>
        <w:t>Business Investment and Sentiment: {</w:t>
      </w:r>
      <w:r w:rsidR="001B69A9" w:rsidRPr="002E6B9A">
        <w:rPr>
          <w:rFonts w:eastAsia="MS Mincho"/>
          <w:lang w:eastAsia="ja-JP"/>
        </w:rPr>
        <w:t xml:space="preserve">business investment, business inventories}, </w:t>
      </w:r>
      <w:r>
        <w:rPr>
          <w:rFonts w:eastAsia="MS Mincho"/>
          <w:lang w:eastAsia="ja-JP"/>
        </w:rPr>
        <w:t>{</w:t>
      </w:r>
      <w:r w:rsidRPr="002E6B9A">
        <w:rPr>
          <w:rFonts w:eastAsia="MS Mincho"/>
          <w:lang w:eastAsia="ja-JP"/>
        </w:rPr>
        <w:t>business sentiment, business confidence}</w:t>
      </w:r>
    </w:p>
    <w:p w14:paraId="702B36B7" w14:textId="5EF76128" w:rsidR="001B69A9" w:rsidRPr="002E6B9A" w:rsidRDefault="003C31D3" w:rsidP="005247F4">
      <w:pPr>
        <w:numPr>
          <w:ilvl w:val="0"/>
          <w:numId w:val="22"/>
        </w:numPr>
        <w:contextualSpacing/>
        <w:jc w:val="both"/>
        <w:rPr>
          <w:rFonts w:eastAsia="MS Mincho"/>
          <w:lang w:eastAsia="ja-JP"/>
        </w:rPr>
      </w:pPr>
      <w:r>
        <w:rPr>
          <w:rFonts w:eastAsia="MS Mincho"/>
          <w:b/>
          <w:lang w:eastAsia="ja-JP"/>
        </w:rPr>
        <w:t xml:space="preserve">Consumer Spending and Sentiment: </w:t>
      </w:r>
      <w:r w:rsidR="001B69A9" w:rsidRPr="002E6B9A">
        <w:rPr>
          <w:rFonts w:eastAsia="MS Mincho"/>
          <w:lang w:eastAsia="ja-JP"/>
        </w:rPr>
        <w:t>{consumer spending, retail sales, consumer purchases}, {consumer confidence, consumer sentimen</w:t>
      </w:r>
      <w:r>
        <w:rPr>
          <w:rFonts w:eastAsia="MS Mincho"/>
          <w:lang w:eastAsia="ja-JP"/>
        </w:rPr>
        <w:t>t}</w:t>
      </w:r>
      <w:r w:rsidR="001B69A9" w:rsidRPr="002E6B9A">
        <w:rPr>
          <w:rFonts w:eastAsia="MS Mincho"/>
          <w:lang w:eastAsia="ja-JP"/>
        </w:rPr>
        <w:t xml:space="preserve"> </w:t>
      </w:r>
    </w:p>
    <w:p w14:paraId="44DEFA20" w14:textId="551268E5" w:rsidR="001B69A9" w:rsidRPr="002E6B9A" w:rsidRDefault="007F7B8F" w:rsidP="001B69A9">
      <w:pPr>
        <w:numPr>
          <w:ilvl w:val="0"/>
          <w:numId w:val="22"/>
        </w:numPr>
        <w:ind w:left="360"/>
        <w:contextualSpacing/>
        <w:jc w:val="both"/>
        <w:rPr>
          <w:rFonts w:eastAsia="MS Mincho"/>
          <w:lang w:eastAsia="ja-JP"/>
        </w:rPr>
      </w:pPr>
      <w:r>
        <w:rPr>
          <w:rFonts w:eastAsia="MS Mincho"/>
          <w:b/>
          <w:lang w:eastAsia="ja-JP"/>
        </w:rPr>
        <w:t>Commodity Markets</w:t>
      </w:r>
      <w:r w:rsidR="001B69A9" w:rsidRPr="002E6B9A">
        <w:rPr>
          <w:rFonts w:eastAsia="MS Mincho"/>
          <w:b/>
          <w:lang w:eastAsia="ja-JP"/>
        </w:rPr>
        <w:t>:</w:t>
      </w:r>
      <w:r w:rsidR="001B69A9" w:rsidRPr="002E6B9A">
        <w:rPr>
          <w:rFonts w:eastAsia="MS Mincho"/>
          <w:lang w:eastAsia="ja-JP"/>
        </w:rPr>
        <w:t xml:space="preserve"> {wheat, corn, soy, sugar, cotton, beef, pork}, {</w:t>
      </w:r>
      <w:r w:rsidR="00C06002">
        <w:rPr>
          <w:rFonts w:eastAsia="MS Mincho"/>
          <w:lang w:eastAsia="ja-JP"/>
        </w:rPr>
        <w:t xml:space="preserve">petroleum, </w:t>
      </w:r>
      <w:r w:rsidR="001B69A9" w:rsidRPr="002E6B9A">
        <w:rPr>
          <w:rFonts w:eastAsia="MS Mincho"/>
          <w:lang w:eastAsia="ja-JP"/>
        </w:rPr>
        <w:t>oil, coal, natural gas}, {biofuel, ethanol}, {steel, copper, zinc, tin, platinum, rare earth metals, gold, metal, silver, aluminum, lead}, {</w:t>
      </w:r>
      <w:proofErr w:type="spellStart"/>
      <w:r w:rsidR="001B69A9" w:rsidRPr="002E6B9A">
        <w:rPr>
          <w:rFonts w:eastAsia="MS Mincho"/>
          <w:lang w:eastAsia="ja-JP"/>
        </w:rPr>
        <w:t>cme</w:t>
      </w:r>
      <w:proofErr w:type="spellEnd"/>
      <w:r w:rsidR="001B69A9" w:rsidRPr="002E6B9A">
        <w:rPr>
          <w:rFonts w:eastAsia="MS Mincho"/>
          <w:lang w:eastAsia="ja-JP"/>
        </w:rPr>
        <w:t xml:space="preserve">, commodity exchange, </w:t>
      </w:r>
      <w:proofErr w:type="spellStart"/>
      <w:r w:rsidR="001B69A9" w:rsidRPr="002E6B9A">
        <w:rPr>
          <w:rFonts w:eastAsia="MS Mincho"/>
          <w:lang w:eastAsia="ja-JP"/>
        </w:rPr>
        <w:t>cbot</w:t>
      </w:r>
      <w:proofErr w:type="spellEnd"/>
      <w:r w:rsidR="001B69A9" w:rsidRPr="002E6B9A">
        <w:rPr>
          <w:rFonts w:eastAsia="MS Mincho"/>
          <w:lang w:eastAsia="ja-JP"/>
        </w:rPr>
        <w:t xml:space="preserve">, </w:t>
      </w:r>
      <w:proofErr w:type="spellStart"/>
      <w:r w:rsidR="001B69A9" w:rsidRPr="002E6B9A">
        <w:rPr>
          <w:rFonts w:eastAsia="MS Mincho"/>
          <w:lang w:eastAsia="ja-JP"/>
        </w:rPr>
        <w:t>nymex</w:t>
      </w:r>
      <w:proofErr w:type="spellEnd"/>
      <w:r w:rsidR="001B69A9" w:rsidRPr="002E6B9A">
        <w:rPr>
          <w:rFonts w:eastAsia="MS Mincho"/>
          <w:lang w:eastAsia="ja-JP"/>
        </w:rPr>
        <w:t xml:space="preserve">, </w:t>
      </w:r>
      <w:proofErr w:type="spellStart"/>
      <w:r w:rsidR="001B69A9" w:rsidRPr="002E6B9A">
        <w:rPr>
          <w:rFonts w:eastAsia="MS Mincho"/>
          <w:lang w:eastAsia="ja-JP"/>
        </w:rPr>
        <w:t>lme</w:t>
      </w:r>
      <w:proofErr w:type="spellEnd"/>
      <w:r w:rsidR="001B69A9" w:rsidRPr="002E6B9A">
        <w:rPr>
          <w:rFonts w:eastAsia="MS Mincho"/>
          <w:lang w:eastAsia="ja-JP"/>
        </w:rPr>
        <w:t>, London metal exchange, mercantile exchange, intercontinental exchange, board of trade}, {keystone pipeline, Alaska pipeline, gas pipeline}</w:t>
      </w:r>
    </w:p>
    <w:p w14:paraId="44A4792E" w14:textId="77777777" w:rsidR="001B69A9" w:rsidRPr="002E6B9A" w:rsidRDefault="001B69A9" w:rsidP="001B69A9">
      <w:pPr>
        <w:numPr>
          <w:ilvl w:val="0"/>
          <w:numId w:val="21"/>
        </w:numPr>
        <w:ind w:left="360"/>
        <w:contextualSpacing/>
        <w:jc w:val="both"/>
        <w:rPr>
          <w:rFonts w:eastAsia="MS Mincho"/>
          <w:lang w:eastAsia="ja-JP"/>
        </w:rPr>
      </w:pPr>
      <w:r w:rsidRPr="002E6B9A">
        <w:rPr>
          <w:rFonts w:eastAsia="MS Mincho"/>
          <w:b/>
          <w:lang w:eastAsia="ja-JP"/>
        </w:rPr>
        <w:t xml:space="preserve">Financial Crises: </w:t>
      </w:r>
      <w:r w:rsidRPr="002E6B9A">
        <w:rPr>
          <w:rFonts w:eastAsia="MS Mincho"/>
          <w:lang w:eastAsia="ja-JP"/>
        </w:rPr>
        <w:t>{financial crisis, financial crises}, {Northern Rock failure, Lehman failure, Lehman Brothers failure, AIG Takeover}, {euro crisis, Eurozone crisis, Greek crisis}</w:t>
      </w:r>
    </w:p>
    <w:p w14:paraId="74C9BFFC"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Exchange Rate</w:t>
      </w:r>
      <w:r w:rsidRPr="002E6B9A">
        <w:rPr>
          <w:rFonts w:eastAsia="MS Mincho"/>
          <w:lang w:eastAsia="ja-JP"/>
        </w:rPr>
        <w:t>: {exchange rate}, {currency crisis}, {currency devaluation, currency depreciation}, {currency revaluation, currency appreciation}, {crawling peg, managed float}, {currency manipulation, currency intervention}</w:t>
      </w:r>
    </w:p>
    <w:p w14:paraId="7AD7246C"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lastRenderedPageBreak/>
        <w:t>Healthcare Matters</w:t>
      </w:r>
      <w:r w:rsidRPr="002E6B9A">
        <w:rPr>
          <w:rFonts w:eastAsia="MS Mincho"/>
          <w:lang w:eastAsia="ja-JP"/>
        </w:rPr>
        <w:t xml:space="preserve">: {healthcare}, {health insurance}, {Medicaid}, {Medicare}, {Affordable care act, Obamacare}, {medical liability, medical malpractice}, {prescription drug}, {drug policy}, {food and drug administration, </w:t>
      </w:r>
      <w:proofErr w:type="spellStart"/>
      <w:r w:rsidRPr="002E6B9A">
        <w:rPr>
          <w:rFonts w:eastAsia="MS Mincho"/>
          <w:lang w:eastAsia="ja-JP"/>
        </w:rPr>
        <w:t>fda</w:t>
      </w:r>
      <w:proofErr w:type="spellEnd"/>
      <w:r w:rsidRPr="002E6B9A">
        <w:rPr>
          <w:rFonts w:eastAsia="MS Mincho"/>
          <w:lang w:eastAsia="ja-JP"/>
        </w:rPr>
        <w:t>}, {VA hospital, VA healthcare, Veterans Affairs hospital, Veterans Affairs healthcare, Veterans Health Administration}, {National Institutes of Health}</w:t>
      </w:r>
    </w:p>
    <w:p w14:paraId="2A9D496F"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Litigation Matters: {</w:t>
      </w:r>
      <w:r w:rsidRPr="002E6B9A">
        <w:rPr>
          <w:rFonts w:eastAsia="MS Mincho"/>
          <w:lang w:eastAsia="ja-JP"/>
        </w:rPr>
        <w:t>lawsuit, litigation, class action, tort}, {punitive damages}, {patent infringement, trademark infringement, copyright infringement}, {medical malpractice}, {Supreme Court}</w:t>
      </w:r>
    </w:p>
    <w:p w14:paraId="6F16E716"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Competition Matters:</w:t>
      </w:r>
      <w:r w:rsidRPr="002E6B9A">
        <w:rPr>
          <w:rFonts w:eastAsia="MS Mincho"/>
          <w:lang w:eastAsia="ja-JP"/>
        </w:rPr>
        <w:t xml:space="preserve"> {antitrust, competition policy, competition law}, {federal trade commission, </w:t>
      </w:r>
      <w:proofErr w:type="spellStart"/>
      <w:r w:rsidRPr="002E6B9A">
        <w:rPr>
          <w:rFonts w:eastAsia="MS Mincho"/>
          <w:lang w:eastAsia="ja-JP"/>
        </w:rPr>
        <w:t>ftc</w:t>
      </w:r>
      <w:proofErr w:type="spellEnd"/>
      <w:r w:rsidRPr="002E6B9A">
        <w:rPr>
          <w:rFonts w:eastAsia="MS Mincho"/>
          <w:lang w:eastAsia="ja-JP"/>
        </w:rPr>
        <w:t>}, {unfair business practice}, {monopoly, monopolization}, {cartel}, {price fixing, price conspiracy}, {Sherman Act}, {Robinson Patman Act}, {Clayton Act}, {Hart-Scott-</w:t>
      </w:r>
      <w:proofErr w:type="spellStart"/>
      <w:r w:rsidRPr="002E6B9A">
        <w:rPr>
          <w:rFonts w:eastAsia="MS Mincho"/>
          <w:lang w:eastAsia="ja-JP"/>
        </w:rPr>
        <w:t>Rodino</w:t>
      </w:r>
      <w:proofErr w:type="spellEnd"/>
      <w:r w:rsidRPr="002E6B9A">
        <w:rPr>
          <w:rFonts w:eastAsia="MS Mincho"/>
          <w:lang w:eastAsia="ja-JP"/>
        </w:rPr>
        <w:t>}, {European Commission}</w:t>
      </w:r>
    </w:p>
    <w:p w14:paraId="5CAC26EF"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Labor Disputes:</w:t>
      </w:r>
      <w:r w:rsidRPr="002E6B9A">
        <w:rPr>
          <w:rFonts w:eastAsia="MS Mincho"/>
          <w:lang w:eastAsia="ja-JP"/>
        </w:rPr>
        <w:t xml:space="preserve"> {labor dispute, labor unrest, strike}, {labor litigation, employee discrimination, wage and hour litigation, labor class action}</w:t>
      </w:r>
    </w:p>
    <w:p w14:paraId="535E870C" w14:textId="77777777" w:rsidR="001B69A9" w:rsidRDefault="001B69A9" w:rsidP="001B69A9">
      <w:pPr>
        <w:numPr>
          <w:ilvl w:val="0"/>
          <w:numId w:val="20"/>
        </w:numPr>
        <w:contextualSpacing/>
        <w:jc w:val="both"/>
        <w:rPr>
          <w:rFonts w:eastAsia="MS Mincho"/>
          <w:lang w:eastAsia="ja-JP"/>
        </w:rPr>
      </w:pPr>
      <w:r w:rsidRPr="002E6B9A">
        <w:rPr>
          <w:rFonts w:eastAsia="MS Mincho"/>
          <w:b/>
          <w:lang w:eastAsia="ja-JP"/>
        </w:rPr>
        <w:t>Intellectual Property Matters:</w:t>
      </w:r>
      <w:r w:rsidRPr="002E6B9A">
        <w:rPr>
          <w:rFonts w:eastAsia="MS Mincho"/>
          <w:lang w:eastAsia="ja-JP"/>
        </w:rPr>
        <w:t xml:space="preserve"> {patent}, {trademark}, {copyright}, {Patent and Trademark Office}, {International Trade Commission}, {federal trade commission, </w:t>
      </w:r>
      <w:proofErr w:type="spellStart"/>
      <w:r w:rsidRPr="002E6B9A">
        <w:rPr>
          <w:rFonts w:eastAsia="MS Mincho"/>
          <w:lang w:eastAsia="ja-JP"/>
        </w:rPr>
        <w:t>ftc</w:t>
      </w:r>
      <w:proofErr w:type="spellEnd"/>
      <w:r w:rsidRPr="002E6B9A">
        <w:rPr>
          <w:rFonts w:eastAsia="MS Mincho"/>
          <w:lang w:eastAsia="ja-JP"/>
        </w:rPr>
        <w:t>}, {intellectual property}, {Hatch-Waxman}, {new drug application}</w:t>
      </w:r>
    </w:p>
    <w:p w14:paraId="6C6FCA99" w14:textId="77777777" w:rsidR="001B69A9" w:rsidRPr="001D7F7D" w:rsidRDefault="001B69A9" w:rsidP="001B69A9">
      <w:pPr>
        <w:ind w:left="360"/>
        <w:contextualSpacing/>
        <w:jc w:val="both"/>
        <w:rPr>
          <w:rFonts w:eastAsia="MS Mincho"/>
          <w:lang w:eastAsia="ja-JP"/>
        </w:rPr>
      </w:pPr>
    </w:p>
    <w:p w14:paraId="17BC375C" w14:textId="77777777" w:rsidR="001B69A9" w:rsidRPr="001D7F7D" w:rsidRDefault="001B69A9" w:rsidP="001B69A9">
      <w:pPr>
        <w:widowControl w:val="0"/>
        <w:autoSpaceDE w:val="0"/>
        <w:autoSpaceDN w:val="0"/>
        <w:adjustRightInd w:val="0"/>
        <w:spacing w:line="360" w:lineRule="auto"/>
        <w:jc w:val="both"/>
        <w:rPr>
          <w:rFonts w:eastAsia="MS Mincho"/>
          <w:b/>
          <w:u w:val="single"/>
          <w:lang w:eastAsia="ja-JP"/>
        </w:rPr>
      </w:pPr>
      <w:r w:rsidRPr="001D7F7D">
        <w:rPr>
          <w:rFonts w:eastAsia="MS Mincho"/>
          <w:b/>
          <w:u w:val="single"/>
          <w:lang w:eastAsia="ja-JP"/>
        </w:rPr>
        <w:t>Policy</w:t>
      </w:r>
      <w:r>
        <w:rPr>
          <w:rFonts w:eastAsia="MS Mincho"/>
          <w:b/>
          <w:u w:val="single"/>
          <w:lang w:eastAsia="ja-JP"/>
        </w:rPr>
        <w:t>-Related</w:t>
      </w:r>
      <w:r w:rsidRPr="001D7F7D">
        <w:rPr>
          <w:rFonts w:eastAsia="MS Mincho"/>
          <w:b/>
          <w:u w:val="single"/>
          <w:lang w:eastAsia="ja-JP"/>
        </w:rPr>
        <w:t xml:space="preserve"> Categories</w:t>
      </w:r>
    </w:p>
    <w:p w14:paraId="2AA48DEE" w14:textId="77777777" w:rsidR="001B69A9" w:rsidRPr="00075A23" w:rsidRDefault="001B69A9" w:rsidP="001B69A9">
      <w:pPr>
        <w:numPr>
          <w:ilvl w:val="0"/>
          <w:numId w:val="20"/>
        </w:numPr>
        <w:contextualSpacing/>
        <w:jc w:val="both"/>
        <w:rPr>
          <w:rFonts w:eastAsia="MS Mincho"/>
          <w:lang w:eastAsia="ja-JP"/>
        </w:rPr>
      </w:pPr>
      <w:r w:rsidRPr="002E6B9A">
        <w:rPr>
          <w:rFonts w:eastAsia="MS Mincho"/>
          <w:b/>
          <w:shd w:val="clear" w:color="auto" w:fill="FFFFFF"/>
          <w:lang w:eastAsia="ja-JP"/>
        </w:rPr>
        <w:t>Fiscal Policy</w:t>
      </w:r>
      <w:r w:rsidRPr="002E6B9A">
        <w:rPr>
          <w:rFonts w:eastAsia="MS Mincho"/>
          <w:shd w:val="clear" w:color="auto" w:fill="FFFFFF"/>
          <w:lang w:eastAsia="ja-JP"/>
        </w:rPr>
        <w:t xml:space="preserve">: </w:t>
      </w:r>
      <w:r w:rsidRPr="00075A23">
        <w:rPr>
          <w:rFonts w:eastAsia="MS Mincho"/>
          <w:b/>
          <w:shd w:val="clear" w:color="auto" w:fill="FFFFFF"/>
          <w:lang w:eastAsia="ja-JP"/>
        </w:rPr>
        <w:t>Taxes</w:t>
      </w:r>
      <w:r>
        <w:rPr>
          <w:rFonts w:eastAsia="MS Mincho"/>
          <w:b/>
          <w:shd w:val="clear" w:color="auto" w:fill="FFFFFF"/>
          <w:lang w:eastAsia="ja-JP"/>
        </w:rPr>
        <w:t xml:space="preserve"> </w:t>
      </w:r>
      <m:oMath>
        <m:r>
          <w:rPr>
            <w:rFonts w:ascii="Cambria Math" w:eastAsia="MS Mincho" w:hAnsi="Cambria Math"/>
            <w:lang w:eastAsia="ja-JP"/>
          </w:rPr>
          <m:t>∪</m:t>
        </m:r>
      </m:oMath>
      <w:r>
        <w:rPr>
          <w:rFonts w:eastAsia="MS Mincho"/>
          <w:lang w:eastAsia="ja-JP"/>
        </w:rPr>
        <w:t xml:space="preserve"> </w:t>
      </w:r>
      <w:r w:rsidRPr="00075A23">
        <w:rPr>
          <w:rFonts w:eastAsia="MS Mincho"/>
          <w:b/>
          <w:shd w:val="clear" w:color="auto" w:fill="FFFFFF"/>
          <w:lang w:eastAsia="ja-JP"/>
        </w:rPr>
        <w:t>Government Spending, Deficits and Debt</w:t>
      </w:r>
      <w:r>
        <w:rPr>
          <w:rFonts w:eastAsia="MS Mincho"/>
          <w:b/>
          <w:shd w:val="clear" w:color="auto" w:fill="FFFFFF"/>
          <w:lang w:eastAsia="ja-JP"/>
        </w:rPr>
        <w:t xml:space="preserve"> </w:t>
      </w:r>
      <m:oMath>
        <m:r>
          <w:rPr>
            <w:rFonts w:ascii="Cambria Math" w:eastAsia="MS Mincho" w:hAnsi="Cambria Math"/>
            <w:lang w:eastAsia="ja-JP"/>
          </w:rPr>
          <m:t>∪</m:t>
        </m:r>
      </m:oMath>
      <w:r w:rsidRPr="00075A23">
        <w:rPr>
          <w:rFonts w:eastAsia="MS Mincho"/>
          <w:b/>
          <w:lang w:eastAsia="ja-JP"/>
        </w:rPr>
        <w:t xml:space="preserve"> Entitlement and </w:t>
      </w:r>
      <w:r>
        <w:rPr>
          <w:rFonts w:eastAsia="MS Mincho"/>
          <w:b/>
          <w:lang w:eastAsia="ja-JP"/>
        </w:rPr>
        <w:t xml:space="preserve">      </w:t>
      </w:r>
      <w:r>
        <w:rPr>
          <w:rFonts w:eastAsia="MS Mincho"/>
          <w:b/>
          <w:lang w:eastAsia="ja-JP"/>
        </w:rPr>
        <w:tab/>
      </w:r>
      <w:r w:rsidRPr="00075A23">
        <w:rPr>
          <w:rFonts w:eastAsia="MS Mincho"/>
          <w:b/>
          <w:lang w:eastAsia="ja-JP"/>
        </w:rPr>
        <w:t>Welfare Programs</w:t>
      </w:r>
    </w:p>
    <w:p w14:paraId="05E59E35"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shd w:val="clear" w:color="auto" w:fill="FFFFFF"/>
          <w:lang w:eastAsia="ja-JP"/>
        </w:rPr>
        <w:t xml:space="preserve">Taxes: </w:t>
      </w:r>
      <w:r w:rsidRPr="002E6B9A">
        <w:rPr>
          <w:rFonts w:eastAsia="MS Mincho"/>
          <w:shd w:val="clear" w:color="auto" w:fill="FFFFFF"/>
          <w:lang w:eastAsia="ja-JP"/>
        </w:rPr>
        <w:t>{</w:t>
      </w:r>
      <w:r w:rsidRPr="002E6B9A">
        <w:rPr>
          <w:rFonts w:eastAsia="MS Mincho"/>
          <w:lang w:eastAsia="ja-JP"/>
        </w:rPr>
        <w:t>taxes, tax, taxation, taxed}, {income tax, tax on individuals, personal tax}, {capital gains tax, tax on capital gains}, {dividend tax}, {mortgage interest deduction, deduction for mortgage interest}, {IRA account, Roth IRA, traditional IRA, 401-k}, {state and local tax deduction, deductibility of state and local tax}, {payroll tax, social security tax, social security contributions, Medicare taxes, FICA, unemployment tax, FUTA}, {sales tax, excise tax, value added tax, vat, goods and services tax, gross receipts tax}, {carbon tax, energy tax}, {corporate tax, business tax, profit tax}, {investment tax credit, accelerated depreciation}, {R&amp;D tax credit, research and development tax credit}, {tax credit for low-income housing, low-income housing credit}, {black liquor tax credit, black liquor credit}, {ethanol credit, ethanol credit, ethanol tax rebate}, {biofuel tax credit, biofuel producer tax credit, fuel excise tax rebate, fuel tax credit, alcohol fuel credit}, {property tax}, {fiscal cliff}, {Internal Revenue Service}</w:t>
      </w:r>
    </w:p>
    <w:p w14:paraId="54F31A50"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shd w:val="clear" w:color="auto" w:fill="FFFFFF"/>
          <w:lang w:eastAsia="ja-JP"/>
        </w:rPr>
        <w:t>Government Spending, Deficits and Debt:</w:t>
      </w:r>
      <w:r w:rsidRPr="002E6B9A">
        <w:rPr>
          <w:rFonts w:eastAsia="MS Mincho"/>
          <w:shd w:val="clear" w:color="auto" w:fill="FFFFFF"/>
          <w:lang w:eastAsia="ja-JP"/>
        </w:rPr>
        <w:t xml:space="preserve"> {</w:t>
      </w:r>
      <w:r w:rsidRPr="002E6B9A">
        <w:rPr>
          <w:rFonts w:eastAsia="MS Mincho"/>
          <w:lang w:eastAsia="ja-JP"/>
        </w:rPr>
        <w:t>government spending, government outlays, government appropriations, government purchases}, {defense spending, military spending, defense purchases, military purchases, defense appropriations}, {entitlement spending}, {government subsidy}, {fiscal stimulus}, {government deficit}, {federal budget, government budget}, {Gramm Rudman, balanced budget, balance the budget, budget battle, debt ceiling}, {fiscal cliff, government sequester, budget sequestration, government shutdown}, {sovereign debt}</w:t>
      </w:r>
    </w:p>
    <w:p w14:paraId="0D455EB6"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shd w:val="clear" w:color="auto" w:fill="FFFFFF"/>
          <w:lang w:eastAsia="ja-JP"/>
        </w:rPr>
        <w:t xml:space="preserve">Entitlement and Welfare Programs: </w:t>
      </w:r>
      <w:r w:rsidRPr="002E6B9A">
        <w:rPr>
          <w:rFonts w:eastAsia="MS Mincho"/>
          <w:lang w:eastAsia="ja-JP"/>
        </w:rPr>
        <w:t xml:space="preserve">{entitlement program, entitlement spending, government entitlements}, {social security, Supplemental Security Income, </w:t>
      </w:r>
      <w:proofErr w:type="spellStart"/>
      <w:r w:rsidRPr="002E6B9A">
        <w:rPr>
          <w:rFonts w:eastAsia="MS Mincho"/>
          <w:lang w:eastAsia="ja-JP"/>
        </w:rPr>
        <w:t>ssi</w:t>
      </w:r>
      <w:proofErr w:type="spellEnd"/>
      <w:r w:rsidRPr="002E6B9A">
        <w:rPr>
          <w:rFonts w:eastAsia="MS Mincho"/>
          <w:lang w:eastAsia="ja-JP"/>
        </w:rPr>
        <w:t xml:space="preserve">, disability insurance}, {Medicaid}, {Medicare}, {supplemental nutrition assistance program, food stamps, </w:t>
      </w:r>
      <w:proofErr w:type="spellStart"/>
      <w:r w:rsidRPr="002E6B9A">
        <w:rPr>
          <w:rFonts w:eastAsia="MS Mincho"/>
          <w:lang w:eastAsia="ja-JP"/>
        </w:rPr>
        <w:t>wic</w:t>
      </w:r>
      <w:proofErr w:type="spellEnd"/>
      <w:r w:rsidRPr="002E6B9A">
        <w:rPr>
          <w:rFonts w:eastAsia="MS Mincho"/>
          <w:lang w:eastAsia="ja-JP"/>
        </w:rPr>
        <w:t xml:space="preserve"> program}, {unemployment insurance, unemployment benefits, TAA program}, {welfare reform, aid to families with dependent children, </w:t>
      </w:r>
      <w:proofErr w:type="spellStart"/>
      <w:r w:rsidRPr="002E6B9A">
        <w:rPr>
          <w:rFonts w:eastAsia="MS Mincho"/>
          <w:lang w:eastAsia="ja-JP"/>
        </w:rPr>
        <w:t>afdc</w:t>
      </w:r>
      <w:proofErr w:type="spellEnd"/>
      <w:r w:rsidRPr="002E6B9A">
        <w:rPr>
          <w:rFonts w:eastAsia="MS Mincho"/>
          <w:lang w:eastAsia="ja-JP"/>
        </w:rPr>
        <w:t xml:space="preserve">, temporary assistance for needy families, </w:t>
      </w:r>
      <w:proofErr w:type="spellStart"/>
      <w:r w:rsidRPr="002E6B9A">
        <w:rPr>
          <w:rFonts w:eastAsia="MS Mincho"/>
          <w:lang w:eastAsia="ja-JP"/>
        </w:rPr>
        <w:t>tanf</w:t>
      </w:r>
      <w:proofErr w:type="spellEnd"/>
      <w:r w:rsidRPr="002E6B9A">
        <w:rPr>
          <w:rFonts w:eastAsia="MS Mincho"/>
          <w:lang w:eastAsia="ja-JP"/>
        </w:rPr>
        <w:t xml:space="preserve">, public assistance}, {earned income tax credit, </w:t>
      </w:r>
      <w:proofErr w:type="spellStart"/>
      <w:r w:rsidRPr="002E6B9A">
        <w:rPr>
          <w:rFonts w:eastAsia="MS Mincho"/>
          <w:lang w:eastAsia="ja-JP"/>
        </w:rPr>
        <w:t>eitc</w:t>
      </w:r>
      <w:proofErr w:type="spellEnd"/>
      <w:r w:rsidRPr="002E6B9A">
        <w:rPr>
          <w:rFonts w:eastAsia="MS Mincho"/>
          <w:lang w:eastAsia="ja-JP"/>
        </w:rPr>
        <w:t xml:space="preserve">}, </w:t>
      </w:r>
      <w:r w:rsidRPr="002E6B9A">
        <w:rPr>
          <w:rFonts w:eastAsia="MS Mincho"/>
          <w:lang w:eastAsia="ja-JP"/>
        </w:rPr>
        <w:lastRenderedPageBreak/>
        <w:t>{head start program, early childhood development program}, {affordable housing, section 8, housing assistance, government subsidized housing}</w:t>
      </w:r>
    </w:p>
    <w:p w14:paraId="394F11F5"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 xml:space="preserve">Government-Sponsored Enterprises and Related Agencies: </w:t>
      </w:r>
      <w:r w:rsidRPr="002E6B9A">
        <w:rPr>
          <w:rFonts w:eastAsia="MS Mincho"/>
          <w:lang w:eastAsia="ja-JP"/>
        </w:rPr>
        <w:t xml:space="preserve">{Federal Home Loan Mortgage Association, Freddie Mac}, {Fannie Mae, Federal National Mortgage Association}, {Federal Housing Finance Agency}, {Federal Housing Agency}, {Sallie Mae, Student Loan Marketing Association}, {Government National Mortgage Association, </w:t>
      </w:r>
      <w:proofErr w:type="spellStart"/>
      <w:r w:rsidRPr="002E6B9A">
        <w:rPr>
          <w:rFonts w:eastAsia="MS Mincho"/>
          <w:lang w:eastAsia="ja-JP"/>
        </w:rPr>
        <w:t>Ginnie</w:t>
      </w:r>
      <w:proofErr w:type="spellEnd"/>
      <w:r w:rsidRPr="002E6B9A">
        <w:rPr>
          <w:rFonts w:eastAsia="MS Mincho"/>
          <w:lang w:eastAsia="ja-JP"/>
        </w:rPr>
        <w:t xml:space="preserve"> Mae}, {Federal Home Loan Bank}, {Federal Farm Credit Bank, Federal Agricultural Mortgage Corporation, Farmer Mac}, {Resolution Funding Corporation, REFCORP}</w:t>
      </w:r>
    </w:p>
    <w:p w14:paraId="2970B36E"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shd w:val="clear" w:color="auto" w:fill="FFFFFF"/>
          <w:lang w:eastAsia="ja-JP"/>
        </w:rPr>
        <w:t>Monetary Policy</w:t>
      </w:r>
      <w:r w:rsidRPr="002E6B9A">
        <w:rPr>
          <w:rFonts w:eastAsia="MS Mincho"/>
          <w:shd w:val="clear" w:color="auto" w:fill="FFFFFF"/>
          <w:lang w:eastAsia="ja-JP"/>
        </w:rPr>
        <w:t>: {</w:t>
      </w:r>
      <w:r w:rsidRPr="002E6B9A">
        <w:rPr>
          <w:rFonts w:eastAsia="MS Mincho"/>
          <w:lang w:eastAsia="ja-JP"/>
        </w:rPr>
        <w:t xml:space="preserve">monetary policy}, {money supply, open market operations}, {fed funds rate}, {discount window}, {quantitative easing}, {forward guidance}, {interest on reserves}, {taper tantrum}, {Fed chair, Greenspan, Bernanke, Volker, Yellen, Draghi, Kuroda, Jerome Powell}, {lender of last resort}, {central bank}, {federal reserve, the fed}, {European Central Bank, </w:t>
      </w:r>
      <w:proofErr w:type="spellStart"/>
      <w:r w:rsidRPr="002E6B9A">
        <w:rPr>
          <w:rFonts w:eastAsia="MS Mincho"/>
          <w:lang w:eastAsia="ja-JP"/>
        </w:rPr>
        <w:t>ecb</w:t>
      </w:r>
      <w:proofErr w:type="spellEnd"/>
      <w:r w:rsidRPr="002E6B9A">
        <w:rPr>
          <w:rFonts w:eastAsia="MS Mincho"/>
          <w:lang w:eastAsia="ja-JP"/>
        </w:rPr>
        <w:t xml:space="preserve">}, {Bank of England}, {bank of japan}, {people’s bank of china, </w:t>
      </w:r>
      <w:proofErr w:type="spellStart"/>
      <w:r w:rsidRPr="002E6B9A">
        <w:rPr>
          <w:rFonts w:eastAsia="MS Mincho"/>
          <w:lang w:eastAsia="ja-JP"/>
        </w:rPr>
        <w:t>pboc</w:t>
      </w:r>
      <w:proofErr w:type="spellEnd"/>
      <w:r w:rsidRPr="002E6B9A">
        <w:rPr>
          <w:rFonts w:eastAsia="MS Mincho"/>
          <w:lang w:eastAsia="ja-JP"/>
        </w:rPr>
        <w:t xml:space="preserve">, </w:t>
      </w:r>
      <w:proofErr w:type="spellStart"/>
      <w:r w:rsidRPr="002E6B9A">
        <w:rPr>
          <w:rFonts w:eastAsia="MS Mincho"/>
          <w:lang w:eastAsia="ja-JP"/>
        </w:rPr>
        <w:t>pbc</w:t>
      </w:r>
      <w:proofErr w:type="spellEnd"/>
      <w:r w:rsidRPr="002E6B9A">
        <w:rPr>
          <w:rFonts w:eastAsia="MS Mincho"/>
          <w:lang w:eastAsia="ja-JP"/>
        </w:rPr>
        <w:t>, central bank of china}, {Bank of Italy}, {Bundesbank}</w:t>
      </w:r>
    </w:p>
    <w:p w14:paraId="63A04B1D"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Regulation</w:t>
      </w:r>
      <w:r w:rsidRPr="002E6B9A">
        <w:rPr>
          <w:rFonts w:eastAsia="MS Mincho"/>
          <w:lang w:eastAsia="ja-JP"/>
        </w:rPr>
        <w:t>: {regulation, regulatory, regulate}</w:t>
      </w:r>
      <m:oMath>
        <m:r>
          <w:rPr>
            <w:rFonts w:ascii="Cambria Math" w:eastAsia="MS Mincho" w:hAnsi="Cambria Math"/>
            <w:lang w:eastAsia="ja-JP"/>
          </w:rPr>
          <m:t>∪</m:t>
        </m:r>
      </m:oMath>
      <w:r w:rsidRPr="00075A23">
        <w:rPr>
          <w:rFonts w:eastAsia="MS Mincho"/>
          <w:b/>
          <w:lang w:eastAsia="ja-JP"/>
        </w:rPr>
        <w:t xml:space="preserve"> </w:t>
      </w:r>
      <w:r w:rsidRPr="002E6B9A">
        <w:rPr>
          <w:rFonts w:eastAsia="MS Mincho"/>
          <w:b/>
          <w:lang w:eastAsia="ja-JP"/>
        </w:rPr>
        <w:t>Financial Regulation</w:t>
      </w:r>
      <w:r>
        <w:rPr>
          <w:rFonts w:eastAsia="MS Mincho"/>
          <w:b/>
          <w:lang w:eastAsia="ja-JP"/>
        </w:rPr>
        <w:t xml:space="preserve"> </w:t>
      </w:r>
      <m:oMath>
        <m:r>
          <w:rPr>
            <w:rFonts w:ascii="Cambria Math" w:eastAsia="MS Mincho" w:hAnsi="Cambria Math"/>
            <w:lang w:eastAsia="ja-JP"/>
          </w:rPr>
          <m:t>∪</m:t>
        </m:r>
      </m:oMath>
      <w:r>
        <w:rPr>
          <w:rFonts w:eastAsia="MS Mincho"/>
          <w:lang w:eastAsia="ja-JP"/>
        </w:rPr>
        <w:t xml:space="preserve"> </w:t>
      </w:r>
      <w:r w:rsidRPr="002E6B9A">
        <w:rPr>
          <w:rFonts w:eastAsia="MS Mincho"/>
          <w:b/>
          <w:lang w:eastAsia="ja-JP"/>
        </w:rPr>
        <w:t>Competition Policy</w:t>
      </w:r>
      <w:r>
        <w:rPr>
          <w:rFonts w:eastAsia="MS Mincho"/>
          <w:b/>
          <w:lang w:eastAsia="ja-JP"/>
        </w:rPr>
        <w:t xml:space="preserve">        </w:t>
      </w:r>
      <w:r>
        <w:rPr>
          <w:rFonts w:eastAsia="MS Mincho"/>
          <w:b/>
          <w:lang w:eastAsia="ja-JP"/>
        </w:rPr>
        <w:tab/>
      </w:r>
      <m:oMath>
        <m:r>
          <w:rPr>
            <w:rFonts w:ascii="Cambria Math" w:eastAsia="MS Mincho" w:hAnsi="Cambria Math"/>
            <w:lang w:eastAsia="ja-JP"/>
          </w:rPr>
          <m:t>∪</m:t>
        </m:r>
      </m:oMath>
      <w:r w:rsidRPr="00075A23">
        <w:rPr>
          <w:rFonts w:eastAsia="MS Mincho"/>
          <w:b/>
          <w:lang w:eastAsia="ja-JP"/>
        </w:rPr>
        <w:t xml:space="preserve"> </w:t>
      </w:r>
      <w:r w:rsidRPr="002E6B9A">
        <w:rPr>
          <w:rFonts w:eastAsia="MS Mincho"/>
          <w:b/>
          <w:lang w:eastAsia="ja-JP"/>
        </w:rPr>
        <w:t>Labor Regulations</w:t>
      </w:r>
      <w:r>
        <w:rPr>
          <w:rFonts w:eastAsia="MS Mincho"/>
          <w:b/>
          <w:lang w:eastAsia="ja-JP"/>
        </w:rPr>
        <w:t xml:space="preserve"> </w:t>
      </w:r>
      <m:oMath>
        <m:r>
          <w:rPr>
            <w:rFonts w:ascii="Cambria Math" w:eastAsia="MS Mincho" w:hAnsi="Cambria Math"/>
            <w:lang w:eastAsia="ja-JP"/>
          </w:rPr>
          <m:t>∪</m:t>
        </m:r>
      </m:oMath>
      <w:r>
        <w:rPr>
          <w:rFonts w:eastAsia="MS Mincho"/>
          <w:lang w:eastAsia="ja-JP"/>
        </w:rPr>
        <w:t xml:space="preserve"> </w:t>
      </w:r>
      <w:r w:rsidRPr="002E6B9A">
        <w:rPr>
          <w:rFonts w:eastAsia="MS Mincho"/>
          <w:b/>
          <w:lang w:eastAsia="ja-JP"/>
        </w:rPr>
        <w:t>Lawsuit And Tort Reform, Supreme Court Decisions</w:t>
      </w:r>
    </w:p>
    <w:p w14:paraId="176E94AB"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lang w:eastAsia="ja-JP"/>
        </w:rPr>
        <w:t xml:space="preserve">Financial Regulation: </w:t>
      </w:r>
      <w:r w:rsidRPr="002E6B9A">
        <w:rPr>
          <w:rFonts w:eastAsia="MS Mincho"/>
          <w:lang w:eastAsia="ja-JP"/>
        </w:rPr>
        <w:t>{bank supervision}, {thrift supervision}, {financial reform}, {truth in lending}, {</w:t>
      </w:r>
      <w:proofErr w:type="spellStart"/>
      <w:r w:rsidRPr="002E6B9A">
        <w:rPr>
          <w:rFonts w:eastAsia="MS Mincho"/>
          <w:lang w:eastAsia="ja-JP"/>
        </w:rPr>
        <w:t>firrea</w:t>
      </w:r>
      <w:proofErr w:type="spellEnd"/>
      <w:r w:rsidRPr="002E6B9A">
        <w:rPr>
          <w:rFonts w:eastAsia="MS Mincho"/>
          <w:lang w:eastAsia="ja-JP"/>
        </w:rPr>
        <w:t xml:space="preserve">}, {Glass-Steagall}, {Sarbanes-Oxley}, {Dodd-frank}, {tarp, Troubled Asset Relief Program}, {Volcker rule}, {Basel}, {capital requirement}, {stress test}, {deposit insurance, </w:t>
      </w:r>
      <w:proofErr w:type="spellStart"/>
      <w:r w:rsidRPr="002E6B9A">
        <w:rPr>
          <w:rFonts w:eastAsia="MS Mincho"/>
          <w:lang w:eastAsia="ja-JP"/>
        </w:rPr>
        <w:t>fdic</w:t>
      </w:r>
      <w:proofErr w:type="spellEnd"/>
      <w:r w:rsidRPr="002E6B9A">
        <w:rPr>
          <w:rFonts w:eastAsia="MS Mincho"/>
          <w:lang w:eastAsia="ja-JP"/>
        </w:rPr>
        <w:t xml:space="preserve">}, {federal savings and loan insurance corporation, </w:t>
      </w:r>
      <w:proofErr w:type="spellStart"/>
      <w:r w:rsidRPr="002E6B9A">
        <w:rPr>
          <w:rFonts w:eastAsia="MS Mincho"/>
          <w:lang w:eastAsia="ja-JP"/>
        </w:rPr>
        <w:t>fslic</w:t>
      </w:r>
      <w:proofErr w:type="spellEnd"/>
      <w:r w:rsidRPr="002E6B9A">
        <w:rPr>
          <w:rFonts w:eastAsia="MS Mincho"/>
          <w:lang w:eastAsia="ja-JP"/>
        </w:rPr>
        <w:t xml:space="preserve">}, {office of thrift supervision, </w:t>
      </w:r>
      <w:proofErr w:type="spellStart"/>
      <w:r w:rsidRPr="002E6B9A">
        <w:rPr>
          <w:rFonts w:eastAsia="MS Mincho"/>
          <w:lang w:eastAsia="ja-JP"/>
        </w:rPr>
        <w:t>ots</w:t>
      </w:r>
      <w:proofErr w:type="spellEnd"/>
      <w:r w:rsidRPr="002E6B9A">
        <w:rPr>
          <w:rFonts w:eastAsia="MS Mincho"/>
          <w:lang w:eastAsia="ja-JP"/>
        </w:rPr>
        <w:t xml:space="preserve">}, {comptroller of the currency, occ}, {commodity futures trading commission, </w:t>
      </w:r>
      <w:proofErr w:type="spellStart"/>
      <w:r w:rsidRPr="002E6B9A">
        <w:rPr>
          <w:rFonts w:eastAsia="MS Mincho"/>
          <w:lang w:eastAsia="ja-JP"/>
        </w:rPr>
        <w:t>cftc</w:t>
      </w:r>
      <w:proofErr w:type="spellEnd"/>
      <w:r w:rsidRPr="002E6B9A">
        <w:rPr>
          <w:rFonts w:eastAsia="MS Mincho"/>
          <w:lang w:eastAsia="ja-JP"/>
        </w:rPr>
        <w:t>}, {Financial Stability Oversight Council}, {house financial services committee}, {securities and exchange commission, sec}, {Bureau of Consumer Financial Protection, Consumer Financial Protection Bureau, CFPB}, {SBA loan program}</w:t>
      </w:r>
    </w:p>
    <w:p w14:paraId="084A24A3"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lang w:eastAsia="ja-JP"/>
        </w:rPr>
        <w:t>Competition Policy:</w:t>
      </w:r>
      <w:r w:rsidRPr="002E6B9A">
        <w:rPr>
          <w:rFonts w:eastAsia="MS Mincho"/>
          <w:lang w:eastAsia="ja-JP"/>
        </w:rPr>
        <w:t xml:space="preserve"> {antitrust policy, competition policy, competition law}, {federal trade commission, </w:t>
      </w:r>
      <w:proofErr w:type="spellStart"/>
      <w:r w:rsidRPr="002E6B9A">
        <w:rPr>
          <w:rFonts w:eastAsia="MS Mincho"/>
          <w:lang w:eastAsia="ja-JP"/>
        </w:rPr>
        <w:t>ftc</w:t>
      </w:r>
      <w:proofErr w:type="spellEnd"/>
      <w:r w:rsidRPr="002E6B9A">
        <w:rPr>
          <w:rFonts w:eastAsia="MS Mincho"/>
          <w:lang w:eastAsia="ja-JP"/>
        </w:rPr>
        <w:t>}, {Sherman Act}, {Robinson Patman Act}, {Clayton Act}, {Hart-Scott-</w:t>
      </w:r>
      <w:proofErr w:type="spellStart"/>
      <w:r w:rsidRPr="002E6B9A">
        <w:rPr>
          <w:rFonts w:eastAsia="MS Mincho"/>
          <w:lang w:eastAsia="ja-JP"/>
        </w:rPr>
        <w:t>Rodino</w:t>
      </w:r>
      <w:proofErr w:type="spellEnd"/>
      <w:r w:rsidRPr="002E6B9A">
        <w:rPr>
          <w:rFonts w:eastAsia="MS Mincho"/>
          <w:lang w:eastAsia="ja-JP"/>
        </w:rPr>
        <w:t>}, {European Commission}</w:t>
      </w:r>
    </w:p>
    <w:p w14:paraId="1F6C43C1"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lang w:eastAsia="ja-JP"/>
        </w:rPr>
        <w:t>Intellectual Property Policy:</w:t>
      </w:r>
      <w:r w:rsidRPr="002E6B9A">
        <w:rPr>
          <w:rFonts w:eastAsia="MS Mincho"/>
          <w:lang w:eastAsia="ja-JP"/>
        </w:rPr>
        <w:t xml:space="preserve"> {patent policy, patent law}, {trademark policy, trademark law}, {copyright law}, {Patent and Trademark Office}, {International Trade Commission}</w:t>
      </w:r>
    </w:p>
    <w:p w14:paraId="177001FB"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lang w:eastAsia="ja-JP"/>
        </w:rPr>
        <w:t>Labor Regulations</w:t>
      </w:r>
      <w:r>
        <w:rPr>
          <w:rFonts w:eastAsia="MS Mincho"/>
          <w:b/>
          <w:color w:val="000000" w:themeColor="text1"/>
          <w:lang w:eastAsia="ja-JP"/>
        </w:rPr>
        <w:t>:</w:t>
      </w:r>
      <w:r w:rsidRPr="002E6B9A">
        <w:rPr>
          <w:rFonts w:eastAsia="MS Mincho"/>
          <w:color w:val="FF0000"/>
          <w:lang w:eastAsia="ja-JP"/>
        </w:rPr>
        <w:t xml:space="preserve"> </w:t>
      </w:r>
      <w:r w:rsidRPr="002E6B9A">
        <w:rPr>
          <w:rFonts w:eastAsia="MS Mincho"/>
          <w:lang w:eastAsia="ja-JP"/>
        </w:rPr>
        <w:t xml:space="preserve">{Department of Labor}, {national labor relations board, </w:t>
      </w:r>
      <w:proofErr w:type="spellStart"/>
      <w:r w:rsidRPr="002E6B9A">
        <w:rPr>
          <w:rFonts w:eastAsia="MS Mincho"/>
          <w:lang w:eastAsia="ja-JP"/>
        </w:rPr>
        <w:t>nlrb</w:t>
      </w:r>
      <w:proofErr w:type="spellEnd"/>
      <w:r w:rsidRPr="002E6B9A">
        <w:rPr>
          <w:rFonts w:eastAsia="MS Mincho"/>
          <w:lang w:eastAsia="ja-JP"/>
        </w:rPr>
        <w:t xml:space="preserve">}, {union rights, card check, right to work, closed shop}, {wages and hours, overtime requirements}, {minimum wage, living wage}, {workers’ compensation}, {Occupational Safety and Health Administration, osha, Mine Safety and Health Administration}, {employment at will, advance notice requirement, at-will employment}, {affirmative action, equal employment opportunity, </w:t>
      </w:r>
      <w:proofErr w:type="spellStart"/>
      <w:r w:rsidRPr="002E6B9A">
        <w:rPr>
          <w:rFonts w:eastAsia="MS Mincho"/>
          <w:lang w:eastAsia="ja-JP"/>
        </w:rPr>
        <w:t>eeoc</w:t>
      </w:r>
      <w:proofErr w:type="spellEnd"/>
      <w:r w:rsidRPr="002E6B9A">
        <w:rPr>
          <w:rFonts w:eastAsia="MS Mincho"/>
          <w:lang w:eastAsia="ja-JP"/>
        </w:rPr>
        <w:t>}, {trade adjustment assistance}, {Davis-Bacon}, {ERISA}, {Pension Benefit Guaranty Corporation, PBGC}</w:t>
      </w:r>
    </w:p>
    <w:p w14:paraId="3F08BCDF"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lang w:eastAsia="ja-JP"/>
        </w:rPr>
        <w:t>Immigration:</w:t>
      </w:r>
      <w:r w:rsidRPr="002E6B9A">
        <w:rPr>
          <w:rFonts w:eastAsia="MS Mincho"/>
          <w:lang w:eastAsia="ja-JP"/>
        </w:rPr>
        <w:t xml:space="preserve"> {immigration policy, immigration reform, migration reform}, {Immigration and Customs Enforcement, immigration and naturalization service}, {immigrant workers, immigrant labor}, {farm worker jobs program, farm worker program farm worker program, farmworker program, guest worker program, </w:t>
      </w:r>
      <w:proofErr w:type="spellStart"/>
      <w:r w:rsidRPr="002E6B9A">
        <w:rPr>
          <w:rFonts w:eastAsia="MS Mincho"/>
          <w:lang w:eastAsia="ja-JP"/>
        </w:rPr>
        <w:t>guestworker</w:t>
      </w:r>
      <w:proofErr w:type="spellEnd"/>
      <w:r w:rsidRPr="002E6B9A">
        <w:rPr>
          <w:rFonts w:eastAsia="MS Mincho"/>
          <w:lang w:eastAsia="ja-JP"/>
        </w:rPr>
        <w:t xml:space="preserve"> program, H-2A program, H-2B program}, {H-1B program, H-1B visa}, {refugee crisis}, {Schengen}</w:t>
      </w:r>
    </w:p>
    <w:p w14:paraId="4D4283D0"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lang w:eastAsia="ja-JP"/>
        </w:rPr>
        <w:t xml:space="preserve">Energy </w:t>
      </w:r>
      <w:r>
        <w:rPr>
          <w:rFonts w:eastAsia="MS Mincho"/>
          <w:b/>
          <w:lang w:eastAsia="ja-JP"/>
        </w:rPr>
        <w:t>a</w:t>
      </w:r>
      <w:r w:rsidRPr="002E6B9A">
        <w:rPr>
          <w:rFonts w:eastAsia="MS Mincho"/>
          <w:b/>
          <w:lang w:eastAsia="ja-JP"/>
        </w:rPr>
        <w:t>nd Environmental Regulation:</w:t>
      </w:r>
      <w:r w:rsidRPr="002E6B9A">
        <w:rPr>
          <w:rFonts w:eastAsia="MS Mincho"/>
          <w:lang w:eastAsia="ja-JP"/>
        </w:rPr>
        <w:t xml:space="preserve"> {energy policy}, {energy tax, carbon tax}, {cap and trade}, {cap and tax}, {drilling restrictions}, {offshore drilling}, {pollution controls, environmental restrictions, clean air act, clean water act}, {environmental protection </w:t>
      </w:r>
      <w:r w:rsidRPr="002E6B9A">
        <w:rPr>
          <w:rFonts w:eastAsia="MS Mincho"/>
          <w:lang w:eastAsia="ja-JP"/>
        </w:rPr>
        <w:lastRenderedPageBreak/>
        <w:t xml:space="preserve">agency, </w:t>
      </w:r>
      <w:proofErr w:type="spellStart"/>
      <w:r w:rsidRPr="002E6B9A">
        <w:rPr>
          <w:rFonts w:eastAsia="MS Mincho"/>
          <w:lang w:eastAsia="ja-JP"/>
        </w:rPr>
        <w:t>epa</w:t>
      </w:r>
      <w:proofErr w:type="spellEnd"/>
      <w:r w:rsidRPr="002E6B9A">
        <w:rPr>
          <w:rFonts w:eastAsia="MS Mincho"/>
          <w:lang w:eastAsia="ja-JP"/>
        </w:rPr>
        <w:t>}, {wetlands protection}, {Federal Energy Regulatory Commission, FERC}, {ethanol subsidy, ethanol tax credit, ethanol credit, ethanol tax rebate, ethanol mandate, biofuel tax credit, biofuel producer tax credit}, {corporate average fuel economy, CAFE standard}, {endangered species}, {Keystone pipeline}, {Alaska oil pipeline, Trans-Alaska pipeline}, {greenhouse gas regulation, climate change regulation}, {Nuclear Regulatory Commission}, {Pipeline and Hazardous Materials Safety Administration}</w:t>
      </w:r>
    </w:p>
    <w:p w14:paraId="0BC7A360"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lang w:eastAsia="ja-JP"/>
        </w:rPr>
        <w:t xml:space="preserve">Lawsuit </w:t>
      </w:r>
      <w:r>
        <w:rPr>
          <w:rFonts w:eastAsia="MS Mincho"/>
          <w:b/>
          <w:lang w:eastAsia="ja-JP"/>
        </w:rPr>
        <w:t>a</w:t>
      </w:r>
      <w:r w:rsidRPr="002E6B9A">
        <w:rPr>
          <w:rFonts w:eastAsia="MS Mincho"/>
          <w:b/>
          <w:lang w:eastAsia="ja-JP"/>
        </w:rPr>
        <w:t>nd Tort Reform, Supreme Court Decisions:</w:t>
      </w:r>
      <w:r w:rsidRPr="002E6B9A">
        <w:rPr>
          <w:rFonts w:eastAsia="MS Mincho"/>
          <w:lang w:eastAsia="ja-JP"/>
        </w:rPr>
        <w:t xml:space="preserve"> {tort reform}, {class action reform}, {punitive damages reform}, {medical malpractice reform}, {lawsuit reform}, {Supreme Court}</w:t>
      </w:r>
    </w:p>
    <w:p w14:paraId="04D34111"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lang w:eastAsia="ja-JP"/>
        </w:rPr>
        <w:t xml:space="preserve">Housing and Land Management: </w:t>
      </w:r>
      <w:r w:rsidRPr="002E6B9A">
        <w:rPr>
          <w:rFonts w:eastAsia="MS Mincho"/>
          <w:lang w:eastAsia="ja-JP"/>
        </w:rPr>
        <w:t>{Federal Housing</w:t>
      </w:r>
      <w:r w:rsidRPr="002E6B9A">
        <w:rPr>
          <w:rFonts w:eastAsia="MS Mincho"/>
          <w:b/>
          <w:lang w:eastAsia="ja-JP"/>
        </w:rPr>
        <w:t xml:space="preserve"> </w:t>
      </w:r>
      <w:r w:rsidRPr="002E6B9A">
        <w:rPr>
          <w:rFonts w:eastAsia="MS Mincho"/>
          <w:lang w:eastAsia="ja-JP"/>
        </w:rPr>
        <w:t>Administration}, {Federal Housing Finance Agency}, {Department of Housing and Urban Development, HUD}, {Section 8 Housing}, {Office of Fair Housing and Equal Opportunity, FHEO}, {Bureau of Land Management}, {Department of Interior}, {zoning regulations, zoning laws}, {endangered species}, {US Forest Service, United States Forest Service}</w:t>
      </w:r>
    </w:p>
    <w:p w14:paraId="3773DC94" w14:textId="77777777" w:rsidR="001B69A9" w:rsidRPr="002E6B9A" w:rsidRDefault="001B69A9" w:rsidP="001B69A9">
      <w:pPr>
        <w:numPr>
          <w:ilvl w:val="1"/>
          <w:numId w:val="20"/>
        </w:numPr>
        <w:ind w:left="792"/>
        <w:contextualSpacing/>
        <w:jc w:val="both"/>
        <w:rPr>
          <w:rFonts w:eastAsia="MS Mincho"/>
          <w:lang w:eastAsia="ja-JP"/>
        </w:rPr>
      </w:pPr>
      <w:r w:rsidRPr="002E6B9A">
        <w:rPr>
          <w:rFonts w:eastAsia="MS Mincho"/>
          <w:b/>
          <w:lang w:eastAsia="ja-JP"/>
        </w:rPr>
        <w:t>Other Regulation:</w:t>
      </w:r>
      <w:r w:rsidRPr="002E6B9A">
        <w:rPr>
          <w:rFonts w:eastAsia="MS Mincho"/>
          <w:lang w:eastAsia="ja-JP"/>
        </w:rPr>
        <w:t xml:space="preserve"> {Consumer Product Safety Commission}, {Department of Education}, {Small Business Administration}, {Federal Communications Commission, FCC}, {Fish and Wildlife Service}</w:t>
      </w:r>
    </w:p>
    <w:p w14:paraId="72E1E477"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National Security</w:t>
      </w:r>
      <w:r w:rsidRPr="002E6B9A">
        <w:rPr>
          <w:rFonts w:eastAsia="MS Mincho"/>
          <w:lang w:eastAsia="ja-JP"/>
        </w:rPr>
        <w:t>: {national security}, {war, military conflict, military action}, {terrorism, terror, 9/11}, {defense spending, defense policy, military spending}, {Department of Defense}, {Department of Homeland Security}, {Defense Advanced Research Projects Agency, DARPA}, {armed forces}, {base closure}, {military procurement}, {no-fly zone}, {Syrian war}, {Iraq war}, {Libyan war}, {Ukraine conflict, Ukraine invasion, Crimean invasion, Crimean annexation}, {South China Sea conflict}, {naval blockade, military embargo}</w:t>
      </w:r>
    </w:p>
    <w:p w14:paraId="5F06AD1A"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Trade Policy</w:t>
      </w:r>
      <w:r w:rsidRPr="002E6B9A">
        <w:rPr>
          <w:rFonts w:eastAsia="MS Mincho"/>
          <w:lang w:eastAsia="ja-JP"/>
        </w:rPr>
        <w:t>: {trade policy}, {tariff, import duty}, {import barrier, import restriction}, {trade quota}, {dumping}, {export tax, export duty}, {trade treaty, trade agreement, trade act}, {</w:t>
      </w:r>
      <w:proofErr w:type="spellStart"/>
      <w:r w:rsidRPr="002E6B9A">
        <w:rPr>
          <w:rFonts w:eastAsia="MS Mincho"/>
          <w:lang w:eastAsia="ja-JP"/>
        </w:rPr>
        <w:t>wto</w:t>
      </w:r>
      <w:proofErr w:type="spellEnd"/>
      <w:r w:rsidRPr="002E6B9A">
        <w:rPr>
          <w:rFonts w:eastAsia="MS Mincho"/>
          <w:lang w:eastAsia="ja-JP"/>
        </w:rPr>
        <w:t xml:space="preserve">, world trade organization, Doha round, Uruguay round, </w:t>
      </w:r>
      <w:proofErr w:type="spellStart"/>
      <w:r w:rsidRPr="002E6B9A">
        <w:rPr>
          <w:rFonts w:eastAsia="MS Mincho"/>
          <w:lang w:eastAsia="ja-JP"/>
        </w:rPr>
        <w:t>gatt</w:t>
      </w:r>
      <w:proofErr w:type="spellEnd"/>
      <w:r w:rsidRPr="002E6B9A">
        <w:rPr>
          <w:rFonts w:eastAsia="MS Mincho"/>
          <w:lang w:eastAsia="ja-JP"/>
        </w:rPr>
        <w:t>}, {export restriction}, {investment restriction}, {</w:t>
      </w:r>
      <w:proofErr w:type="spellStart"/>
      <w:r w:rsidRPr="002E6B9A">
        <w:rPr>
          <w:rFonts w:eastAsia="MS Mincho"/>
          <w:lang w:eastAsia="ja-JP"/>
        </w:rPr>
        <w:t>Nafta</w:t>
      </w:r>
      <w:proofErr w:type="spellEnd"/>
      <w:r w:rsidRPr="002E6B9A">
        <w:rPr>
          <w:rFonts w:eastAsia="MS Mincho"/>
          <w:lang w:eastAsia="ja-JP"/>
        </w:rPr>
        <w:t xml:space="preserve">, North American Free Trade Agreement}, {Trans-Pacific Partnership, </w:t>
      </w:r>
      <w:proofErr w:type="spellStart"/>
      <w:r w:rsidRPr="002E6B9A">
        <w:rPr>
          <w:rFonts w:eastAsia="MS Mincho"/>
          <w:lang w:eastAsia="ja-JP"/>
        </w:rPr>
        <w:t>TransPacific</w:t>
      </w:r>
      <w:proofErr w:type="spellEnd"/>
      <w:r w:rsidRPr="002E6B9A">
        <w:rPr>
          <w:rFonts w:eastAsia="MS Mincho"/>
          <w:lang w:eastAsia="ja-JP"/>
        </w:rPr>
        <w:t xml:space="preserve"> Partnership}, {Federal Maritime Commission}, {International Trade Commission}, {Jones Act}, {trade adjustment assistance}</w:t>
      </w:r>
    </w:p>
    <w:p w14:paraId="1E2BB2A9"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Healthcare Policy</w:t>
      </w:r>
      <w:r w:rsidRPr="002E6B9A">
        <w:rPr>
          <w:rFonts w:eastAsia="MS Mincho"/>
          <w:lang w:eastAsia="ja-JP"/>
        </w:rPr>
        <w:t>: {healthcare policy}, {health insurance}, {Medicaid}, {Medicare}, {Affordable care act, Obamacare}, {malpractice tort reform, malpractice reform}, {VA hospital, VA healthcare, Veterans Affairs hospital, Veterans Affairs healthcare, Veterans Health Administration}, {National Institutes of Health}</w:t>
      </w:r>
    </w:p>
    <w:p w14:paraId="0D71CCAC"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 xml:space="preserve">Food and Drug Policy: </w:t>
      </w:r>
      <w:r w:rsidRPr="002E6B9A">
        <w:rPr>
          <w:rFonts w:eastAsia="MS Mincho"/>
          <w:lang w:eastAsia="ja-JP"/>
        </w:rPr>
        <w:t xml:space="preserve">{prescription drug act}, {drug policy}, {food and drug administration, </w:t>
      </w:r>
      <w:proofErr w:type="spellStart"/>
      <w:r w:rsidRPr="002E6B9A">
        <w:rPr>
          <w:rFonts w:eastAsia="MS Mincho"/>
          <w:lang w:eastAsia="ja-JP"/>
        </w:rPr>
        <w:t>fda</w:t>
      </w:r>
      <w:proofErr w:type="spellEnd"/>
      <w:r w:rsidRPr="002E6B9A">
        <w:rPr>
          <w:rFonts w:eastAsia="MS Mincho"/>
          <w:lang w:eastAsia="ja-JP"/>
        </w:rPr>
        <w:t>}</w:t>
      </w:r>
    </w:p>
    <w:p w14:paraId="61C59CB4" w14:textId="77777777"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 xml:space="preserve">Transportation, Infrastructure and Public Utilities: </w:t>
      </w:r>
      <w:r w:rsidRPr="002E6B9A">
        <w:rPr>
          <w:rFonts w:eastAsia="MS Mincho"/>
          <w:lang w:eastAsia="ja-JP"/>
        </w:rPr>
        <w:t>{Department of Transportation}, {Federal Highway Administration}, {federal highway fund}, {National Highway Traffic Safety Administration}, {U.S. Surface Transportation Board}, {Amtrak, National Railroad Passenger Corporation}, {Bonneville Power Administration, Tennessee Valley Authority, Southeastern Power Administration, New York Public Power Authority, Santee Cooper, South Carolina Public Service Authority, Salt River Project, Los Angeles Department of Water and Power}, {Corps of Engineers}, {Federal Aviation Administration, FAA}, {Federal Maritime Commission}, {National Aeronautics and Space Administration, NASA}, {Pipeline and Hazardous Materials Safety Administration}</w:t>
      </w:r>
    </w:p>
    <w:p w14:paraId="75198466" w14:textId="78E2A4BC" w:rsidR="001B69A9" w:rsidRPr="002E6B9A" w:rsidRDefault="001B69A9" w:rsidP="001B69A9">
      <w:pPr>
        <w:numPr>
          <w:ilvl w:val="0"/>
          <w:numId w:val="20"/>
        </w:numPr>
        <w:contextualSpacing/>
        <w:jc w:val="both"/>
        <w:rPr>
          <w:rFonts w:eastAsia="MS Mincho"/>
          <w:lang w:eastAsia="ja-JP"/>
        </w:rPr>
      </w:pPr>
      <w:r w:rsidRPr="002E6B9A">
        <w:rPr>
          <w:rFonts w:eastAsia="MS Mincho"/>
          <w:b/>
          <w:lang w:eastAsia="ja-JP"/>
        </w:rPr>
        <w:t>Elections and Pol</w:t>
      </w:r>
      <w:r w:rsidR="00A0466C">
        <w:rPr>
          <w:rFonts w:eastAsia="MS Mincho"/>
          <w:b/>
          <w:lang w:eastAsia="ja-JP"/>
        </w:rPr>
        <w:t>i</w:t>
      </w:r>
      <w:r w:rsidRPr="002E6B9A">
        <w:rPr>
          <w:rFonts w:eastAsia="MS Mincho"/>
          <w:b/>
          <w:lang w:eastAsia="ja-JP"/>
        </w:rPr>
        <w:t>tical Governance</w:t>
      </w:r>
      <w:r w:rsidRPr="002E6B9A">
        <w:rPr>
          <w:rFonts w:eastAsia="MS Mincho"/>
          <w:lang w:eastAsia="ja-JP"/>
        </w:rPr>
        <w:t xml:space="preserve">: {presidential election}, {Congressional election}, {parliamentary election}, {presidential impeachment}, {Brexit}, {Scottish referendum}, </w:t>
      </w:r>
      <w:r w:rsidRPr="002E6B9A">
        <w:rPr>
          <w:rFonts w:eastAsia="MS Mincho"/>
          <w:lang w:eastAsia="ja-JP"/>
        </w:rPr>
        <w:lastRenderedPageBreak/>
        <w:t>{Grexit, Greek exit}, {Eurozone exit, Eurozone breakup}, {military takeover, coup}, {civil war}</w:t>
      </w:r>
    </w:p>
    <w:p w14:paraId="6EF9232E" w14:textId="77777777" w:rsidR="001B69A9" w:rsidRPr="00C2646E" w:rsidRDefault="001B69A9" w:rsidP="001B69A9">
      <w:pPr>
        <w:numPr>
          <w:ilvl w:val="0"/>
          <w:numId w:val="20"/>
        </w:numPr>
        <w:contextualSpacing/>
        <w:jc w:val="both"/>
        <w:rPr>
          <w:rFonts w:eastAsiaTheme="minorEastAsia"/>
        </w:rPr>
      </w:pPr>
      <w:r w:rsidRPr="002E6B9A">
        <w:rPr>
          <w:rFonts w:eastAsia="MS Mincho"/>
          <w:b/>
          <w:lang w:eastAsia="ja-JP"/>
        </w:rPr>
        <w:t xml:space="preserve">Agricultural Policy: </w:t>
      </w:r>
      <w:r w:rsidRPr="002E6B9A">
        <w:rPr>
          <w:rFonts w:eastAsia="MS Mincho"/>
          <w:lang w:eastAsia="ja-JP"/>
        </w:rPr>
        <w:t>{Department of Agriculture, USDA}, {ethanol subsidy, ethanol tax credit, ethanol credit, ethanol tax rebate, ethanol mandate, biofuel tax credit, biofuel producer tax credit}</w:t>
      </w:r>
    </w:p>
    <w:p w14:paraId="43013221" w14:textId="1FECEB31" w:rsidR="00671B35" w:rsidRDefault="00671B35" w:rsidP="00493B2B">
      <w:pPr>
        <w:spacing w:after="200" w:line="276" w:lineRule="auto"/>
      </w:pPr>
    </w:p>
    <w:p w14:paraId="5F076A0D" w14:textId="77777777" w:rsidR="00671B35" w:rsidRDefault="00671B35" w:rsidP="00493B2B">
      <w:pPr>
        <w:spacing w:after="200" w:line="276" w:lineRule="auto"/>
      </w:pPr>
    </w:p>
    <w:p w14:paraId="4F432BF3" w14:textId="77777777" w:rsidR="00671B35" w:rsidRDefault="00671B35">
      <w:pPr>
        <w:spacing w:after="200" w:line="276" w:lineRule="auto"/>
        <w:rPr>
          <w:rFonts w:eastAsia="MS Mincho"/>
          <w:b/>
          <w:lang w:eastAsia="ja-JP"/>
        </w:rPr>
      </w:pPr>
      <w:r>
        <w:rPr>
          <w:rFonts w:eastAsia="MS Mincho"/>
          <w:b/>
          <w:lang w:eastAsia="ja-JP"/>
        </w:rPr>
        <w:br w:type="page"/>
      </w:r>
    </w:p>
    <w:p w14:paraId="1A0A1164" w14:textId="3A7C57DA" w:rsidR="008226AA" w:rsidRPr="001D7F7D" w:rsidRDefault="008226AA" w:rsidP="00671B35">
      <w:pPr>
        <w:spacing w:after="200" w:line="276" w:lineRule="auto"/>
        <w:jc w:val="center"/>
        <w:rPr>
          <w:rFonts w:eastAsia="MS Mincho"/>
          <w:b/>
          <w:lang w:eastAsia="ja-JP"/>
        </w:rPr>
      </w:pPr>
      <w:r w:rsidRPr="002E6B9A">
        <w:rPr>
          <w:rFonts w:eastAsia="MS Mincho"/>
          <w:b/>
          <w:lang w:eastAsia="ja-JP"/>
        </w:rPr>
        <w:lastRenderedPageBreak/>
        <w:t>Appendix</w:t>
      </w:r>
      <w:r>
        <w:rPr>
          <w:rFonts w:eastAsia="MS Mincho"/>
          <w:b/>
          <w:lang w:eastAsia="ja-JP"/>
        </w:rPr>
        <w:t xml:space="preserve"> C. Computing the Realized Volatility of </w:t>
      </w:r>
      <w:r w:rsidR="00671B35">
        <w:rPr>
          <w:rFonts w:eastAsia="MS Mincho"/>
          <w:b/>
          <w:lang w:eastAsia="ja-JP"/>
        </w:rPr>
        <w:t xml:space="preserve">Equity </w:t>
      </w:r>
      <w:r>
        <w:rPr>
          <w:rFonts w:eastAsia="MS Mincho"/>
          <w:b/>
          <w:lang w:eastAsia="ja-JP"/>
        </w:rPr>
        <w:t>Returns</w:t>
      </w:r>
    </w:p>
    <w:p w14:paraId="5E37556F" w14:textId="77777777" w:rsidR="00671B35" w:rsidRPr="00E573BA" w:rsidRDefault="00671B35" w:rsidP="00671B35">
      <w:pPr>
        <w:ind w:firstLine="720"/>
      </w:pPr>
      <w:r w:rsidRPr="00E573BA">
        <w:t xml:space="preserve">Let </w:t>
      </w:r>
      <w:r w:rsidRPr="00E573BA">
        <w:rPr>
          <w:i/>
        </w:rPr>
        <w:t xml:space="preserve">t </w:t>
      </w:r>
      <w:r w:rsidRPr="00E573BA">
        <w:t xml:space="preserve">index trading days, and let </w:t>
      </w:r>
      <m:oMath>
        <m:r>
          <w:rPr>
            <w:rFonts w:ascii="Cambria Math" w:hAnsi="Cambria Math"/>
          </w:rPr>
          <m:t>i</m:t>
        </m:r>
      </m:oMath>
      <w:r w:rsidRPr="00E573BA">
        <w:rPr>
          <w:rFonts w:eastAsiaTheme="minorEastAsia"/>
        </w:rPr>
        <w:t xml:space="preserve"> index the firm (i.e., it’s equity security). </w:t>
      </w:r>
      <w:r w:rsidRPr="00E573BA">
        <w:t>We compute percent daily equity returns as follows:</w:t>
      </w:r>
    </w:p>
    <w:p w14:paraId="0BD573A5" w14:textId="77777777" w:rsidR="00671B35" w:rsidRPr="00E573BA" w:rsidRDefault="00671B35" w:rsidP="00671B35">
      <w:pPr>
        <w:ind w:firstLine="720"/>
      </w:pPr>
    </w:p>
    <w:p w14:paraId="16C23F22" w14:textId="77777777" w:rsidR="00671B35" w:rsidRPr="00E573BA" w:rsidRDefault="00671B35" w:rsidP="00671B35">
      <m:oMathPara>
        <m:oMath>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i,t,t+1</m:t>
              </m:r>
            </m:sub>
          </m:sSub>
          <m:r>
            <w:rPr>
              <w:rFonts w:ascii="Cambria Math" w:hAnsi="Cambria Math"/>
            </w:rPr>
            <m:t>=</m:t>
          </m:r>
          <m:d>
            <m:dPr>
              <m:begChr m:val="["/>
              <m:endChr m:val="]"/>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PRCC</m:t>
                      </m:r>
                      <m:sSub>
                        <m:sSubPr>
                          <m:ctrlPr>
                            <w:rPr>
                              <w:rFonts w:ascii="Cambria Math" w:hAnsi="Cambria Math"/>
                            </w:rPr>
                          </m:ctrlPr>
                        </m:sSubPr>
                        <m:e>
                          <m:r>
                            <w:rPr>
                              <w:rFonts w:ascii="Cambria Math" w:hAnsi="Cambria Math"/>
                            </w:rPr>
                            <m:t>D</m:t>
                          </m:r>
                        </m:e>
                        <m:sub>
                          <m:r>
                            <w:rPr>
                              <w:rFonts w:ascii="Cambria Math" w:hAnsi="Cambria Math"/>
                            </w:rPr>
                            <m:t>i,t+1</m:t>
                          </m:r>
                        </m:sub>
                      </m:sSub>
                      <m:r>
                        <w:rPr>
                          <w:rFonts w:ascii="Cambria Math" w:hAnsi="Cambria Math"/>
                        </w:rPr>
                        <m:t>×TRF</m:t>
                      </m:r>
                      <m:sSub>
                        <m:sSubPr>
                          <m:ctrlPr>
                            <w:rPr>
                              <w:rFonts w:ascii="Cambria Math" w:hAnsi="Cambria Math"/>
                            </w:rPr>
                          </m:ctrlPr>
                        </m:sSubPr>
                        <m:e>
                          <m:r>
                            <w:rPr>
                              <w:rFonts w:ascii="Cambria Math" w:hAnsi="Cambria Math"/>
                            </w:rPr>
                            <m:t>D</m:t>
                          </m:r>
                        </m:e>
                        <m:sub>
                          <m:r>
                            <w:rPr>
                              <w:rFonts w:ascii="Cambria Math" w:hAnsi="Cambria Math"/>
                            </w:rPr>
                            <m:t>i,t+1</m:t>
                          </m:r>
                        </m:sub>
                      </m:sSub>
                    </m:num>
                    <m:den>
                      <m:sSub>
                        <m:sSubPr>
                          <m:ctrlPr>
                            <w:rPr>
                              <w:rFonts w:ascii="Cambria Math" w:hAnsi="Cambria Math"/>
                            </w:rPr>
                          </m:ctrlPr>
                        </m:sSubPr>
                        <m:e>
                          <m:r>
                            <w:rPr>
                              <w:rFonts w:ascii="Cambria Math" w:hAnsi="Cambria Math"/>
                            </w:rPr>
                            <m:t>AJEXDI</m:t>
                          </m:r>
                        </m:e>
                        <m:sub>
                          <m:r>
                            <w:rPr>
                              <w:rFonts w:ascii="Cambria Math" w:hAnsi="Cambria Math"/>
                            </w:rPr>
                            <m:t>i,t+1</m:t>
                          </m:r>
                        </m:sub>
                      </m:sSub>
                    </m:den>
                  </m:f>
                </m:e>
              </m:d>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PRCC</m:t>
                      </m:r>
                      <m:sSub>
                        <m:sSubPr>
                          <m:ctrlPr>
                            <w:rPr>
                              <w:rFonts w:ascii="Cambria Math" w:hAnsi="Cambria Math"/>
                            </w:rPr>
                          </m:ctrlPr>
                        </m:sSubPr>
                        <m:e>
                          <m:r>
                            <w:rPr>
                              <w:rFonts w:ascii="Cambria Math" w:hAnsi="Cambria Math"/>
                            </w:rPr>
                            <m:t>D</m:t>
                          </m:r>
                        </m:e>
                        <m:sub>
                          <m:r>
                            <w:rPr>
                              <w:rFonts w:ascii="Cambria Math" w:hAnsi="Cambria Math"/>
                            </w:rPr>
                            <m:t>i,t</m:t>
                          </m:r>
                        </m:sub>
                      </m:sSub>
                      <m:r>
                        <w:rPr>
                          <w:rFonts w:ascii="Cambria Math" w:hAnsi="Cambria Math"/>
                        </w:rPr>
                        <m:t>×TRF</m:t>
                      </m:r>
                      <m:sSub>
                        <m:sSubPr>
                          <m:ctrlPr>
                            <w:rPr>
                              <w:rFonts w:ascii="Cambria Math" w:hAnsi="Cambria Math"/>
                            </w:rPr>
                          </m:ctrlPr>
                        </m:sSubPr>
                        <m:e>
                          <m:r>
                            <w:rPr>
                              <w:rFonts w:ascii="Cambria Math" w:hAnsi="Cambria Math"/>
                            </w:rPr>
                            <m:t>D</m:t>
                          </m:r>
                        </m:e>
                        <m:sub>
                          <m:r>
                            <w:rPr>
                              <w:rFonts w:ascii="Cambria Math" w:hAnsi="Cambria Math"/>
                            </w:rPr>
                            <m:t>i,t</m:t>
                          </m:r>
                        </m:sub>
                      </m:sSub>
                    </m:num>
                    <m:den>
                      <m:sSub>
                        <m:sSubPr>
                          <m:ctrlPr>
                            <w:rPr>
                              <w:rFonts w:ascii="Cambria Math" w:hAnsi="Cambria Math"/>
                            </w:rPr>
                          </m:ctrlPr>
                        </m:sSubPr>
                        <m:e>
                          <m:r>
                            <w:rPr>
                              <w:rFonts w:ascii="Cambria Math" w:hAnsi="Cambria Math"/>
                            </w:rPr>
                            <m:t>AJEXDI</m:t>
                          </m:r>
                        </m:e>
                        <m:sub>
                          <m:r>
                            <w:rPr>
                              <w:rFonts w:ascii="Cambria Math" w:hAnsi="Cambria Math"/>
                            </w:rPr>
                            <m:t>i,t</m:t>
                          </m:r>
                        </m:sub>
                      </m:sSub>
                    </m:den>
                  </m:f>
                </m:e>
              </m:d>
            </m:e>
          </m:d>
          <m:r>
            <w:rPr>
              <w:rFonts w:ascii="Cambria Math" w:hAnsi="Cambria Math"/>
            </w:rPr>
            <m:t>×100</m:t>
          </m:r>
        </m:oMath>
      </m:oMathPara>
    </w:p>
    <w:p w14:paraId="34FCCC0D" w14:textId="77777777" w:rsidR="00671B35" w:rsidRPr="00E573BA" w:rsidRDefault="00671B35" w:rsidP="00671B35"/>
    <w:p w14:paraId="612CDA40" w14:textId="77777777" w:rsidR="00671B35" w:rsidRPr="00E573BA" w:rsidRDefault="00671B35" w:rsidP="00671B35">
      <w:r w:rsidRPr="00E573BA">
        <w:t>Where PRCCD represents unadjusted closing equity prices, AJEXDI is a cumulative index accounting for stock splits, reverse stock splits and stock dividend payments implemented by companies over time, and TRF is a cumulative index accounting for cash dividend payments and other cash equivalent distributions. Many firms (38.77 percent) have missing TRFD for the entire period. In such cases, we impute TRFD=1 (i.e., we assume these companies did not implement stock splits or stock dividend payments during the considered period). We drop observations with daily return, as measured above, outside the range of -100 to 100.</w:t>
      </w:r>
    </w:p>
    <w:p w14:paraId="10BDA6B0" w14:textId="77777777" w:rsidR="00671B35" w:rsidRPr="00E573BA" w:rsidRDefault="00671B35" w:rsidP="00671B35"/>
    <w:p w14:paraId="56B074D2" w14:textId="77777777" w:rsidR="00671B35" w:rsidRPr="00E573BA" w:rsidRDefault="00671B35" w:rsidP="00671B35">
      <w:r w:rsidRPr="00E573BA">
        <w:t xml:space="preserve">Let </w:t>
      </w:r>
      <m:oMath>
        <m:sSub>
          <m:sSubPr>
            <m:ctrlPr>
              <w:rPr>
                <w:rFonts w:ascii="Cambria Math" w:hAnsi="Cambria Math"/>
              </w:rPr>
            </m:ctrlPr>
          </m:sSubPr>
          <m:e>
            <m:r>
              <w:rPr>
                <w:rFonts w:ascii="Cambria Math" w:hAnsi="Cambria Math"/>
              </w:rPr>
              <m:t>n</m:t>
            </m:r>
          </m:e>
          <m:sub>
            <m:r>
              <w:rPr>
                <w:rFonts w:ascii="Cambria Math" w:hAnsi="Cambria Math"/>
              </w:rPr>
              <m:t>i,m</m:t>
            </m:r>
          </m:sub>
        </m:sSub>
      </m:oMath>
      <w:r w:rsidRPr="00E573BA">
        <w:rPr>
          <w:rFonts w:eastAsiaTheme="minorEastAsia"/>
        </w:rPr>
        <w:t xml:space="preserve"> </w:t>
      </w:r>
      <w:r w:rsidRPr="00E573BA">
        <w:t xml:space="preserve">be the number of trading days for firm </w:t>
      </w:r>
      <m:oMath>
        <m:r>
          <w:rPr>
            <w:rFonts w:ascii="Cambria Math" w:hAnsi="Cambria Math"/>
          </w:rPr>
          <m:t>i</m:t>
        </m:r>
      </m:oMath>
      <w:r w:rsidRPr="00E573BA">
        <w:t xml:space="preserve">in month </w:t>
      </w:r>
      <m:oMath>
        <m:r>
          <w:rPr>
            <w:rFonts w:ascii="Cambria Math" w:hAnsi="Cambria Math"/>
          </w:rPr>
          <m:t>m.</m:t>
        </m:r>
      </m:oMath>
      <w:r w:rsidRPr="00E573BA">
        <w:t xml:space="preserve"> Given the prev</w:t>
      </w:r>
      <w:proofErr w:type="spellStart"/>
      <w:r w:rsidRPr="00E573BA">
        <w:t>ious</w:t>
      </w:r>
      <w:proofErr w:type="spellEnd"/>
      <w:r w:rsidRPr="00E573BA">
        <w:t xml:space="preserve"> calculation for daily firm-level stock returns, we calculated firm-level monthly realized stock volatility as follows:</w:t>
      </w:r>
    </w:p>
    <w:p w14:paraId="4A7E6FAF" w14:textId="77777777" w:rsidR="00671B35" w:rsidRPr="00E573BA" w:rsidRDefault="00671B35" w:rsidP="00671B35"/>
    <w:p w14:paraId="6F8F6CC8" w14:textId="77777777" w:rsidR="00671B35" w:rsidRPr="00E573BA" w:rsidRDefault="00EA34AD" w:rsidP="00671B35">
      <m:oMathPara>
        <m:oMath>
          <m:sSub>
            <m:sSubPr>
              <m:ctrlPr>
                <w:rPr>
                  <w:rFonts w:ascii="Cambria Math" w:hAnsi="Cambria Math"/>
                </w:rPr>
              </m:ctrlPr>
            </m:sSubPr>
            <m:e>
              <m:r>
                <w:rPr>
                  <w:rFonts w:ascii="Cambria Math" w:hAnsi="Cambria Math"/>
                </w:rPr>
                <m:t>RVol</m:t>
              </m:r>
            </m:e>
            <m:sub>
              <m:r>
                <w:rPr>
                  <w:rFonts w:ascii="Cambria Math" w:hAnsi="Cambria Math"/>
                </w:rPr>
                <m:t>i,m</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252</m:t>
                  </m:r>
                </m:num>
                <m:den>
                  <m:sSub>
                    <m:sSubPr>
                      <m:ctrlPr>
                        <w:rPr>
                          <w:rFonts w:ascii="Cambria Math" w:hAnsi="Cambria Math"/>
                        </w:rPr>
                      </m:ctrlPr>
                    </m:sSubPr>
                    <m:e>
                      <m:r>
                        <w:rPr>
                          <w:rFonts w:ascii="Cambria Math" w:hAnsi="Cambria Math"/>
                        </w:rPr>
                        <m:t>n</m:t>
                      </m:r>
                    </m:e>
                    <m:sub>
                      <m:r>
                        <w:rPr>
                          <w:rFonts w:ascii="Cambria Math" w:hAnsi="Cambria Math"/>
                        </w:rPr>
                        <m:t>i,m</m:t>
                      </m:r>
                    </m:sub>
                  </m:sSub>
                </m:den>
              </m:f>
              <m:nary>
                <m:naryPr>
                  <m:chr m:val="∑"/>
                  <m:subHide m:val="1"/>
                  <m:supHide m:val="1"/>
                  <m:ctrlPr>
                    <w:rPr>
                      <w:rFonts w:ascii="Cambria Math" w:hAnsi="Cambria Math"/>
                    </w:rPr>
                  </m:ctrlPr>
                </m:naryPr>
                <m:sub/>
                <m:sup/>
                <m:e>
                  <m:sSubSup>
                    <m:sSubSupPr>
                      <m:ctrlPr>
                        <w:rPr>
                          <w:rFonts w:ascii="Cambria Math" w:hAnsi="Cambria Math"/>
                        </w:rPr>
                      </m:ctrlPr>
                    </m:sSubSupPr>
                    <m:e>
                      <m:r>
                        <w:rPr>
                          <w:rFonts w:ascii="Cambria Math" w:hAnsi="Cambria Math"/>
                        </w:rPr>
                        <m:t>ER</m:t>
                      </m:r>
                    </m:e>
                    <m:sub>
                      <m:r>
                        <w:rPr>
                          <w:rFonts w:ascii="Cambria Math" w:hAnsi="Cambria Math"/>
                        </w:rPr>
                        <m:t>i,t,t+1</m:t>
                      </m:r>
                    </m:sub>
                    <m:sup>
                      <m:r>
                        <w:rPr>
                          <w:rFonts w:ascii="Cambria Math" w:hAnsi="Cambria Math"/>
                        </w:rPr>
                        <m:t>2</m:t>
                      </m:r>
                    </m:sup>
                  </m:sSubSup>
                </m:e>
              </m:nary>
            </m:e>
          </m:rad>
        </m:oMath>
      </m:oMathPara>
    </w:p>
    <w:p w14:paraId="6C4D172F" w14:textId="77777777" w:rsidR="00671B35" w:rsidRPr="00E573BA" w:rsidRDefault="00671B35" w:rsidP="00671B35"/>
    <w:p w14:paraId="647F60E1" w14:textId="77777777" w:rsidR="00671B35" w:rsidRPr="00E573BA" w:rsidRDefault="00671B35" w:rsidP="00671B35">
      <w:r w:rsidRPr="00E573BA">
        <w:t>252 is just a constant representing the approximate number of trading days in a year that we use for the annualization factor. This formula is just the standard deviation of daily returns in the month for a zero-mean return and expressed on an annualized basis. The zero mean return assumption is common in practice since daily mean returns are usually very small.</w:t>
      </w:r>
    </w:p>
    <w:p w14:paraId="05B48CDB" w14:textId="77777777" w:rsidR="00671B35" w:rsidRPr="00E573BA" w:rsidRDefault="00671B35" w:rsidP="00671B35"/>
    <w:p w14:paraId="7A8C5D5C" w14:textId="77777777" w:rsidR="00671B35" w:rsidRPr="00E573BA" w:rsidRDefault="00671B35" w:rsidP="00671B35">
      <w:r w:rsidRPr="00E573BA">
        <w:t>We use the same formula for calculating the monthly market level realized volatility based off S&amp;P 500 returns. The only difference is that we simplify the daily returns calculation so that we instead use:</w:t>
      </w:r>
    </w:p>
    <w:p w14:paraId="75E68E46" w14:textId="77777777" w:rsidR="00671B35" w:rsidRPr="00E573BA" w:rsidRDefault="00671B35" w:rsidP="00671B35"/>
    <w:p w14:paraId="28ED1D60" w14:textId="77777777" w:rsidR="00671B35" w:rsidRPr="00E573BA" w:rsidRDefault="00EA34AD" w:rsidP="00671B35">
      <w:pPr>
        <w:jc w:val="center"/>
      </w:pPr>
      <m:oMath>
        <m:sSub>
          <m:sSubPr>
            <m:ctrlPr>
              <w:rPr>
                <w:rFonts w:ascii="Cambria Math" w:hAnsi="Cambria Math"/>
              </w:rPr>
            </m:ctrlPr>
          </m:sSubPr>
          <m:e>
            <m:r>
              <w:rPr>
                <w:rFonts w:ascii="Cambria Math" w:hAnsi="Cambria Math"/>
              </w:rPr>
              <m:t>ER</m:t>
            </m:r>
          </m:e>
          <m:sub>
            <m:r>
              <w:rPr>
                <w:rFonts w:ascii="Cambria Math" w:hAnsi="Cambria Math"/>
              </w:rPr>
              <m:t>mkt,t,t+1</m:t>
            </m:r>
          </m:sub>
        </m:sSub>
        <m:r>
          <w:rPr>
            <w:rFonts w:ascii="Cambria Math" w:hAnsi="Cambria Math"/>
          </w:rPr>
          <m:t>=</m:t>
        </m:r>
        <m:d>
          <m:dPr>
            <m:begChr m:val="["/>
            <m:endChr m:val="]"/>
            <m:ctrlPr>
              <w:rPr>
                <w:rFonts w:ascii="Cambria Math" w:hAnsi="Cambria Math"/>
              </w:rPr>
            </m:ctrlPr>
          </m:dPr>
          <m:e>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Price</m:t>
                    </m:r>
                  </m:e>
                  <m:sub>
                    <m:r>
                      <w:rPr>
                        <w:rFonts w:ascii="Cambria Math" w:hAnsi="Cambria Math"/>
                      </w:rPr>
                      <m:t>mkt,t+1</m:t>
                    </m:r>
                  </m:sub>
                </m:sSub>
              </m:e>
            </m:d>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Price</m:t>
                    </m:r>
                  </m:e>
                  <m:sub>
                    <m:r>
                      <w:rPr>
                        <w:rFonts w:ascii="Cambria Math" w:hAnsi="Cambria Math"/>
                      </w:rPr>
                      <m:t>mkt,t</m:t>
                    </m:r>
                  </m:sub>
                </m:sSub>
              </m:e>
            </m:d>
          </m:e>
        </m:d>
        <m:r>
          <w:rPr>
            <w:rFonts w:ascii="Cambria Math" w:hAnsi="Cambria Math"/>
          </w:rPr>
          <m:t>×100</m:t>
        </m:r>
      </m:oMath>
      <w:r w:rsidR="00671B35">
        <w:rPr>
          <w:rFonts w:eastAsiaTheme="minorEastAsia"/>
        </w:rPr>
        <w:t>.</w:t>
      </w:r>
    </w:p>
    <w:p w14:paraId="0803E070" w14:textId="77777777" w:rsidR="00527EBF" w:rsidRDefault="00527EBF" w:rsidP="00493B2B">
      <w:pPr>
        <w:spacing w:after="200" w:line="276" w:lineRule="auto"/>
      </w:pPr>
    </w:p>
    <w:p w14:paraId="1C5FABA6" w14:textId="77777777" w:rsidR="00527EBF" w:rsidRDefault="00527EBF">
      <w:pPr>
        <w:spacing w:after="200" w:line="276" w:lineRule="auto"/>
      </w:pPr>
      <w:r>
        <w:br w:type="page"/>
      </w:r>
    </w:p>
    <w:p w14:paraId="0370C560" w14:textId="77777777" w:rsidR="00493B2B" w:rsidRPr="001D7F7D" w:rsidRDefault="00493B2B" w:rsidP="00493B2B">
      <w:pPr>
        <w:spacing w:after="200" w:line="276" w:lineRule="auto"/>
        <w:jc w:val="center"/>
        <w:rPr>
          <w:rFonts w:eastAsia="MS Mincho"/>
          <w:b/>
          <w:lang w:eastAsia="ja-JP"/>
        </w:rPr>
      </w:pPr>
      <w:r w:rsidRPr="002E6B9A">
        <w:rPr>
          <w:rFonts w:eastAsia="MS Mincho"/>
          <w:b/>
          <w:lang w:eastAsia="ja-JP"/>
        </w:rPr>
        <w:lastRenderedPageBreak/>
        <w:t>Appendix</w:t>
      </w:r>
      <w:r>
        <w:rPr>
          <w:rFonts w:eastAsia="MS Mincho"/>
          <w:b/>
          <w:lang w:eastAsia="ja-JP"/>
        </w:rPr>
        <w:t xml:space="preserve"> C. Additional Analysis and Results</w:t>
      </w:r>
    </w:p>
    <w:p w14:paraId="7AAF11E0" w14:textId="64EE13F8" w:rsidR="0022217C" w:rsidRDefault="0022217C" w:rsidP="00493B2B">
      <w:pPr>
        <w:ind w:firstLine="720"/>
        <w:contextualSpacing/>
        <w:jc w:val="both"/>
        <w:rPr>
          <w:rFonts w:eastAsiaTheme="minorEastAsia"/>
        </w:rPr>
      </w:pPr>
      <w:r>
        <w:rPr>
          <w:rFonts w:eastAsiaTheme="minorEastAsia"/>
        </w:rPr>
        <w:t>Figures C.1 and C.2 display the time series of residuals for the regressions reported in Table 2, Columns (1) and (3), respectively.</w:t>
      </w:r>
    </w:p>
    <w:p w14:paraId="1C810EC0" w14:textId="77777777" w:rsidR="0022217C" w:rsidRDefault="0022217C" w:rsidP="00493B2B">
      <w:pPr>
        <w:ind w:firstLine="720"/>
        <w:contextualSpacing/>
        <w:jc w:val="both"/>
        <w:rPr>
          <w:rFonts w:eastAsiaTheme="minorEastAsia"/>
        </w:rPr>
      </w:pPr>
    </w:p>
    <w:p w14:paraId="1850B657" w14:textId="54F94A95" w:rsidR="00493B2B" w:rsidRDefault="00493B2B" w:rsidP="00493B2B">
      <w:pPr>
        <w:ind w:firstLine="720"/>
        <w:contextualSpacing/>
        <w:jc w:val="both"/>
        <w:rPr>
          <w:rFonts w:eastAsiaTheme="minorEastAsia"/>
        </w:rPr>
      </w:pPr>
      <w:r>
        <w:rPr>
          <w:rFonts w:eastAsiaTheme="minorEastAsia"/>
        </w:rPr>
        <w:t>Table C.1 expands on the VIX regressions in Table 2 by using NVIX as an explanatory variable instead of, or in addition to, our EMV tracker. There are two main results in Table C.1: First, columns (1) to (4) show that EMV outperforms NVIX in tracking the VIX. Second, columns (5) and (6) show that EMV and NVIX have independent explanatory power in the sense that neither knocks out the statistical significance of the other. Moreover, including both explanatory variables substantially improves the goodness of fit.</w:t>
      </w:r>
    </w:p>
    <w:p w14:paraId="6B6FDF80" w14:textId="77777777" w:rsidR="00493B2B" w:rsidRDefault="00493B2B" w:rsidP="00493B2B">
      <w:pPr>
        <w:contextualSpacing/>
        <w:jc w:val="both"/>
        <w:rPr>
          <w:rFonts w:eastAsiaTheme="minorEastAsia"/>
        </w:rPr>
      </w:pPr>
    </w:p>
    <w:p w14:paraId="3DDE1EAC" w14:textId="77777777" w:rsidR="00493B2B" w:rsidRDefault="00493B2B" w:rsidP="00493B2B">
      <w:pPr>
        <w:ind w:right="-720"/>
        <w:jc w:val="both"/>
        <w:rPr>
          <w:rFonts w:eastAsiaTheme="minorEastAsia"/>
          <w:b/>
        </w:rPr>
      </w:pPr>
      <w:r w:rsidRPr="00F116BE">
        <w:rPr>
          <w:rFonts w:eastAsiaTheme="minorEastAsia"/>
          <w:b/>
        </w:rPr>
        <w:t xml:space="preserve">Table </w:t>
      </w:r>
      <w:r>
        <w:rPr>
          <w:rFonts w:eastAsiaTheme="minorEastAsia"/>
          <w:b/>
        </w:rPr>
        <w:t>C.1: Regressions of VIX</w:t>
      </w:r>
      <w:r w:rsidRPr="00F116BE">
        <w:rPr>
          <w:rFonts w:eastAsiaTheme="minorEastAsia"/>
          <w:b/>
        </w:rPr>
        <w:t xml:space="preserve"> </w:t>
      </w:r>
      <w:r>
        <w:rPr>
          <w:rFonts w:eastAsiaTheme="minorEastAsia"/>
          <w:b/>
        </w:rPr>
        <w:t xml:space="preserve">on EMV and NVIX, January </w:t>
      </w:r>
      <w:r w:rsidRPr="00F116BE">
        <w:rPr>
          <w:rFonts w:eastAsiaTheme="minorEastAsia"/>
          <w:b/>
        </w:rPr>
        <w:t xml:space="preserve">1985 </w:t>
      </w:r>
      <w:r>
        <w:rPr>
          <w:rFonts w:eastAsiaTheme="minorEastAsia"/>
          <w:b/>
        </w:rPr>
        <w:t xml:space="preserve">to </w:t>
      </w:r>
      <w:r w:rsidRPr="00F116BE">
        <w:rPr>
          <w:rFonts w:eastAsiaTheme="minorEastAsia"/>
          <w:b/>
        </w:rPr>
        <w:t>March 2016</w:t>
      </w:r>
    </w:p>
    <w:p w14:paraId="0D4B78FD" w14:textId="77777777" w:rsidR="00493B2B" w:rsidRPr="00377530" w:rsidRDefault="00493B2B" w:rsidP="00493B2B">
      <w:pPr>
        <w:ind w:right="-720"/>
        <w:jc w:val="both"/>
        <w:rPr>
          <w:rFonts w:eastAsiaTheme="minorEastAsia"/>
          <w:b/>
          <w:sz w:val="10"/>
          <w:szCs w:val="10"/>
        </w:rPr>
      </w:pPr>
    </w:p>
    <w:tbl>
      <w:tblPr>
        <w:tblStyle w:val="TableGrid"/>
        <w:tblW w:w="0" w:type="auto"/>
        <w:jc w:val="center"/>
        <w:tblLook w:val="04A0" w:firstRow="1" w:lastRow="0" w:firstColumn="1" w:lastColumn="0" w:noHBand="0" w:noVBand="1"/>
      </w:tblPr>
      <w:tblGrid>
        <w:gridCol w:w="1483"/>
        <w:gridCol w:w="796"/>
        <w:gridCol w:w="796"/>
        <w:gridCol w:w="796"/>
        <w:gridCol w:w="796"/>
        <w:gridCol w:w="796"/>
        <w:gridCol w:w="796"/>
      </w:tblGrid>
      <w:tr w:rsidR="00493B2B" w:rsidRPr="00F116BE" w14:paraId="53237E9C" w14:textId="77777777" w:rsidTr="0022217C">
        <w:trPr>
          <w:jc w:val="center"/>
        </w:trPr>
        <w:tc>
          <w:tcPr>
            <w:tcW w:w="0" w:type="auto"/>
            <w:tcBorders>
              <w:top w:val="double" w:sz="4" w:space="0" w:color="auto"/>
              <w:left w:val="nil"/>
              <w:bottom w:val="single" w:sz="4" w:space="0" w:color="auto"/>
              <w:right w:val="nil"/>
            </w:tcBorders>
          </w:tcPr>
          <w:p w14:paraId="236D46D9" w14:textId="77777777" w:rsidR="00493B2B" w:rsidRPr="00F116BE" w:rsidRDefault="00493B2B" w:rsidP="00825BA7">
            <w:pPr>
              <w:jc w:val="both"/>
              <w:rPr>
                <w:rFonts w:eastAsiaTheme="minorEastAsia"/>
              </w:rPr>
            </w:pPr>
          </w:p>
        </w:tc>
        <w:tc>
          <w:tcPr>
            <w:tcW w:w="0" w:type="auto"/>
            <w:tcBorders>
              <w:top w:val="double" w:sz="4" w:space="0" w:color="auto"/>
              <w:left w:val="nil"/>
              <w:bottom w:val="single" w:sz="4" w:space="0" w:color="auto"/>
              <w:right w:val="nil"/>
            </w:tcBorders>
          </w:tcPr>
          <w:p w14:paraId="3243AA81" w14:textId="77777777" w:rsidR="00493B2B" w:rsidRPr="00F116BE" w:rsidRDefault="00493B2B" w:rsidP="00825BA7">
            <w:pPr>
              <w:jc w:val="center"/>
              <w:rPr>
                <w:rFonts w:eastAsiaTheme="minorEastAsia"/>
              </w:rPr>
            </w:pPr>
            <w:r w:rsidRPr="00F116BE">
              <w:rPr>
                <w:rFonts w:eastAsiaTheme="minorEastAsia"/>
              </w:rPr>
              <w:t>(1</w:t>
            </w:r>
            <w:r>
              <w:rPr>
                <w:rFonts w:eastAsiaTheme="minorEastAsia"/>
              </w:rPr>
              <w:t>)</w:t>
            </w:r>
          </w:p>
        </w:tc>
        <w:tc>
          <w:tcPr>
            <w:tcW w:w="0" w:type="auto"/>
            <w:tcBorders>
              <w:top w:val="double" w:sz="4" w:space="0" w:color="auto"/>
              <w:left w:val="nil"/>
              <w:bottom w:val="single" w:sz="4" w:space="0" w:color="auto"/>
              <w:right w:val="nil"/>
            </w:tcBorders>
          </w:tcPr>
          <w:p w14:paraId="68F0EF20" w14:textId="77777777" w:rsidR="00493B2B" w:rsidRPr="00F116BE" w:rsidRDefault="00493B2B" w:rsidP="00825BA7">
            <w:pPr>
              <w:jc w:val="center"/>
              <w:rPr>
                <w:rFonts w:eastAsiaTheme="minorEastAsia"/>
              </w:rPr>
            </w:pPr>
            <w:r w:rsidRPr="00F116BE">
              <w:rPr>
                <w:rFonts w:eastAsiaTheme="minorEastAsia"/>
              </w:rPr>
              <w:t>(2)</w:t>
            </w:r>
          </w:p>
        </w:tc>
        <w:tc>
          <w:tcPr>
            <w:tcW w:w="0" w:type="auto"/>
            <w:tcBorders>
              <w:top w:val="double" w:sz="4" w:space="0" w:color="auto"/>
              <w:left w:val="nil"/>
              <w:bottom w:val="single" w:sz="4" w:space="0" w:color="auto"/>
              <w:right w:val="nil"/>
            </w:tcBorders>
          </w:tcPr>
          <w:p w14:paraId="7E129DC6" w14:textId="77777777" w:rsidR="00493B2B" w:rsidRPr="00F116BE" w:rsidRDefault="00493B2B" w:rsidP="00825BA7">
            <w:pPr>
              <w:jc w:val="center"/>
              <w:rPr>
                <w:rFonts w:eastAsiaTheme="minorEastAsia"/>
              </w:rPr>
            </w:pPr>
            <w:r w:rsidRPr="00F116BE">
              <w:rPr>
                <w:rFonts w:eastAsiaTheme="minorEastAsia"/>
              </w:rPr>
              <w:t>(3)</w:t>
            </w:r>
          </w:p>
        </w:tc>
        <w:tc>
          <w:tcPr>
            <w:tcW w:w="0" w:type="auto"/>
            <w:tcBorders>
              <w:top w:val="double" w:sz="4" w:space="0" w:color="auto"/>
              <w:left w:val="nil"/>
              <w:bottom w:val="single" w:sz="4" w:space="0" w:color="auto"/>
              <w:right w:val="nil"/>
            </w:tcBorders>
          </w:tcPr>
          <w:p w14:paraId="2B3BBE80" w14:textId="77777777" w:rsidR="00493B2B" w:rsidRPr="00F116BE" w:rsidRDefault="00493B2B" w:rsidP="00825BA7">
            <w:pPr>
              <w:jc w:val="center"/>
              <w:rPr>
                <w:rFonts w:eastAsiaTheme="minorEastAsia"/>
              </w:rPr>
            </w:pPr>
            <w:r w:rsidRPr="00F116BE">
              <w:rPr>
                <w:rFonts w:eastAsiaTheme="minorEastAsia"/>
              </w:rPr>
              <w:t>(4)</w:t>
            </w:r>
          </w:p>
        </w:tc>
        <w:tc>
          <w:tcPr>
            <w:tcW w:w="0" w:type="auto"/>
            <w:tcBorders>
              <w:top w:val="double" w:sz="4" w:space="0" w:color="auto"/>
              <w:left w:val="nil"/>
              <w:bottom w:val="single" w:sz="4" w:space="0" w:color="auto"/>
              <w:right w:val="nil"/>
            </w:tcBorders>
          </w:tcPr>
          <w:p w14:paraId="2E07FADC" w14:textId="77777777" w:rsidR="00493B2B" w:rsidRPr="00F116BE" w:rsidRDefault="00493B2B" w:rsidP="00825BA7">
            <w:pPr>
              <w:jc w:val="center"/>
              <w:rPr>
                <w:rFonts w:eastAsiaTheme="minorEastAsia"/>
              </w:rPr>
            </w:pPr>
            <w:r w:rsidRPr="00F116BE">
              <w:rPr>
                <w:rFonts w:eastAsiaTheme="minorEastAsia"/>
              </w:rPr>
              <w:t>(</w:t>
            </w:r>
            <w:r>
              <w:rPr>
                <w:rFonts w:eastAsiaTheme="minorEastAsia"/>
              </w:rPr>
              <w:t>5</w:t>
            </w:r>
            <w:r w:rsidRPr="00F116BE">
              <w:rPr>
                <w:rFonts w:eastAsiaTheme="minorEastAsia"/>
              </w:rPr>
              <w:t>)</w:t>
            </w:r>
          </w:p>
        </w:tc>
        <w:tc>
          <w:tcPr>
            <w:tcW w:w="0" w:type="auto"/>
            <w:tcBorders>
              <w:top w:val="double" w:sz="4" w:space="0" w:color="auto"/>
              <w:left w:val="nil"/>
              <w:bottom w:val="single" w:sz="4" w:space="0" w:color="auto"/>
              <w:right w:val="nil"/>
            </w:tcBorders>
          </w:tcPr>
          <w:p w14:paraId="032F92E8" w14:textId="77777777" w:rsidR="00493B2B" w:rsidRPr="00F116BE" w:rsidRDefault="00493B2B" w:rsidP="00825BA7">
            <w:pPr>
              <w:jc w:val="center"/>
              <w:rPr>
                <w:rFonts w:eastAsiaTheme="minorEastAsia"/>
              </w:rPr>
            </w:pPr>
            <w:r w:rsidRPr="00F116BE">
              <w:rPr>
                <w:rFonts w:eastAsiaTheme="minorEastAsia"/>
              </w:rPr>
              <w:t>(</w:t>
            </w:r>
            <w:r>
              <w:rPr>
                <w:rFonts w:eastAsiaTheme="minorEastAsia"/>
              </w:rPr>
              <w:t>6</w:t>
            </w:r>
            <w:r w:rsidRPr="00F116BE">
              <w:rPr>
                <w:rFonts w:eastAsiaTheme="minorEastAsia"/>
              </w:rPr>
              <w:t>)</w:t>
            </w:r>
          </w:p>
        </w:tc>
      </w:tr>
      <w:tr w:rsidR="00493B2B" w:rsidRPr="00F116BE" w14:paraId="135EACAF" w14:textId="77777777" w:rsidTr="0022217C">
        <w:trPr>
          <w:jc w:val="center"/>
        </w:trPr>
        <w:tc>
          <w:tcPr>
            <w:tcW w:w="0" w:type="auto"/>
            <w:tcBorders>
              <w:left w:val="nil"/>
              <w:bottom w:val="nil"/>
              <w:right w:val="nil"/>
            </w:tcBorders>
          </w:tcPr>
          <w:p w14:paraId="13BD0696" w14:textId="77777777" w:rsidR="00493B2B" w:rsidRPr="00F116BE" w:rsidRDefault="00493B2B" w:rsidP="00825BA7">
            <w:pPr>
              <w:jc w:val="both"/>
              <w:rPr>
                <w:rFonts w:eastAsiaTheme="minorEastAsia"/>
                <w:vertAlign w:val="subscript"/>
              </w:rPr>
            </w:pPr>
            <w:proofErr w:type="spellStart"/>
            <w:r w:rsidRPr="00F116BE">
              <w:rPr>
                <w:rFonts w:eastAsiaTheme="minorEastAsia"/>
              </w:rPr>
              <w:t>EMV</w:t>
            </w:r>
            <w:r w:rsidRPr="00F116BE">
              <w:rPr>
                <w:rFonts w:eastAsiaTheme="minorEastAsia"/>
                <w:vertAlign w:val="subscript"/>
              </w:rPr>
              <w:t>t</w:t>
            </w:r>
            <w:proofErr w:type="spellEnd"/>
          </w:p>
        </w:tc>
        <w:tc>
          <w:tcPr>
            <w:tcW w:w="0" w:type="auto"/>
            <w:tcBorders>
              <w:left w:val="nil"/>
              <w:bottom w:val="nil"/>
              <w:right w:val="nil"/>
            </w:tcBorders>
          </w:tcPr>
          <w:p w14:paraId="55B25FCA" w14:textId="77777777" w:rsidR="00493B2B" w:rsidRPr="00F116BE" w:rsidRDefault="00493B2B" w:rsidP="00825BA7">
            <w:pPr>
              <w:jc w:val="center"/>
              <w:rPr>
                <w:rFonts w:eastAsiaTheme="minorEastAsia"/>
              </w:rPr>
            </w:pPr>
            <w:r w:rsidRPr="00F116BE">
              <w:rPr>
                <w:rFonts w:eastAsiaTheme="minorEastAsia"/>
              </w:rPr>
              <w:t>0.75</w:t>
            </w:r>
          </w:p>
          <w:p w14:paraId="3711A42C" w14:textId="77777777" w:rsidR="00493B2B" w:rsidRPr="00F116BE" w:rsidRDefault="00493B2B" w:rsidP="00825BA7">
            <w:pPr>
              <w:jc w:val="center"/>
              <w:rPr>
                <w:rFonts w:eastAsiaTheme="minorEastAsia"/>
              </w:rPr>
            </w:pPr>
            <w:r w:rsidRPr="00F116BE">
              <w:rPr>
                <w:rFonts w:eastAsiaTheme="minorEastAsia"/>
              </w:rPr>
              <w:t>(0.06)</w:t>
            </w:r>
          </w:p>
        </w:tc>
        <w:tc>
          <w:tcPr>
            <w:tcW w:w="0" w:type="auto"/>
            <w:tcBorders>
              <w:left w:val="nil"/>
              <w:bottom w:val="nil"/>
              <w:right w:val="nil"/>
            </w:tcBorders>
          </w:tcPr>
          <w:p w14:paraId="3AD3F304" w14:textId="77777777" w:rsidR="00493B2B" w:rsidRPr="00F116BE" w:rsidRDefault="00493B2B" w:rsidP="00825BA7">
            <w:pPr>
              <w:jc w:val="center"/>
              <w:rPr>
                <w:rFonts w:eastAsiaTheme="minorEastAsia"/>
              </w:rPr>
            </w:pPr>
          </w:p>
        </w:tc>
        <w:tc>
          <w:tcPr>
            <w:tcW w:w="0" w:type="auto"/>
            <w:tcBorders>
              <w:left w:val="nil"/>
              <w:bottom w:val="nil"/>
              <w:right w:val="nil"/>
            </w:tcBorders>
          </w:tcPr>
          <w:p w14:paraId="701EC1C8" w14:textId="77777777" w:rsidR="00493B2B" w:rsidRPr="00F116BE" w:rsidRDefault="00493B2B" w:rsidP="00825BA7">
            <w:pPr>
              <w:jc w:val="center"/>
              <w:rPr>
                <w:rFonts w:eastAsiaTheme="minorEastAsia"/>
              </w:rPr>
            </w:pPr>
            <w:r w:rsidRPr="00F116BE">
              <w:rPr>
                <w:rFonts w:eastAsiaTheme="minorEastAsia"/>
              </w:rPr>
              <w:t>0.43</w:t>
            </w:r>
          </w:p>
          <w:p w14:paraId="66FD13FC" w14:textId="77777777" w:rsidR="00493B2B" w:rsidRPr="00F116BE" w:rsidRDefault="00493B2B" w:rsidP="00825BA7">
            <w:pPr>
              <w:jc w:val="center"/>
              <w:rPr>
                <w:rFonts w:eastAsiaTheme="minorEastAsia"/>
              </w:rPr>
            </w:pPr>
            <w:r w:rsidRPr="00F116BE">
              <w:rPr>
                <w:rFonts w:eastAsiaTheme="minorEastAsia"/>
              </w:rPr>
              <w:t>(0.0</w:t>
            </w:r>
            <w:r>
              <w:rPr>
                <w:rFonts w:eastAsiaTheme="minorEastAsia"/>
              </w:rPr>
              <w:t>7</w:t>
            </w:r>
            <w:r w:rsidRPr="00F116BE">
              <w:rPr>
                <w:rFonts w:eastAsiaTheme="minorEastAsia"/>
              </w:rPr>
              <w:t>)</w:t>
            </w:r>
          </w:p>
        </w:tc>
        <w:tc>
          <w:tcPr>
            <w:tcW w:w="0" w:type="auto"/>
            <w:tcBorders>
              <w:left w:val="nil"/>
              <w:bottom w:val="nil"/>
              <w:right w:val="nil"/>
            </w:tcBorders>
          </w:tcPr>
          <w:p w14:paraId="15F48DFB" w14:textId="77777777" w:rsidR="00493B2B" w:rsidRPr="00F116BE" w:rsidRDefault="00493B2B" w:rsidP="00825BA7">
            <w:pPr>
              <w:jc w:val="center"/>
              <w:rPr>
                <w:rFonts w:eastAsiaTheme="minorEastAsia"/>
              </w:rPr>
            </w:pPr>
          </w:p>
        </w:tc>
        <w:tc>
          <w:tcPr>
            <w:tcW w:w="0" w:type="auto"/>
            <w:tcBorders>
              <w:left w:val="nil"/>
              <w:bottom w:val="nil"/>
              <w:right w:val="nil"/>
            </w:tcBorders>
          </w:tcPr>
          <w:p w14:paraId="61F78B15" w14:textId="77777777" w:rsidR="00493B2B" w:rsidRPr="00F116BE" w:rsidRDefault="00493B2B" w:rsidP="00825BA7">
            <w:pPr>
              <w:jc w:val="center"/>
              <w:rPr>
                <w:rFonts w:eastAsiaTheme="minorEastAsia"/>
              </w:rPr>
            </w:pPr>
            <w:r w:rsidRPr="00F116BE">
              <w:rPr>
                <w:rFonts w:eastAsiaTheme="minorEastAsia"/>
              </w:rPr>
              <w:t>0.55</w:t>
            </w:r>
          </w:p>
          <w:p w14:paraId="709F879B" w14:textId="77777777" w:rsidR="00493B2B" w:rsidRPr="00F116BE" w:rsidRDefault="00493B2B" w:rsidP="00825BA7">
            <w:pPr>
              <w:jc w:val="center"/>
              <w:rPr>
                <w:rFonts w:eastAsiaTheme="minorEastAsia"/>
              </w:rPr>
            </w:pPr>
            <w:r w:rsidRPr="00F116BE">
              <w:rPr>
                <w:rFonts w:eastAsiaTheme="minorEastAsia"/>
              </w:rPr>
              <w:t>(0.0</w:t>
            </w:r>
            <w:r>
              <w:rPr>
                <w:rFonts w:eastAsiaTheme="minorEastAsia"/>
              </w:rPr>
              <w:t>7</w:t>
            </w:r>
            <w:r w:rsidRPr="00F116BE">
              <w:rPr>
                <w:rFonts w:eastAsiaTheme="minorEastAsia"/>
              </w:rPr>
              <w:t>)</w:t>
            </w:r>
          </w:p>
        </w:tc>
        <w:tc>
          <w:tcPr>
            <w:tcW w:w="0" w:type="auto"/>
            <w:tcBorders>
              <w:left w:val="nil"/>
              <w:bottom w:val="nil"/>
              <w:right w:val="nil"/>
            </w:tcBorders>
          </w:tcPr>
          <w:p w14:paraId="3322437D" w14:textId="77777777" w:rsidR="00493B2B" w:rsidRPr="00F116BE" w:rsidRDefault="00493B2B" w:rsidP="00825BA7">
            <w:pPr>
              <w:jc w:val="center"/>
              <w:rPr>
                <w:rFonts w:eastAsiaTheme="minorEastAsia"/>
              </w:rPr>
            </w:pPr>
            <w:r w:rsidRPr="00F116BE">
              <w:rPr>
                <w:rFonts w:eastAsiaTheme="minorEastAsia"/>
              </w:rPr>
              <w:t>0.36</w:t>
            </w:r>
          </w:p>
          <w:p w14:paraId="4483E7C1" w14:textId="77777777" w:rsidR="00493B2B" w:rsidRPr="00F116BE" w:rsidRDefault="00493B2B" w:rsidP="00825BA7">
            <w:pPr>
              <w:jc w:val="center"/>
              <w:rPr>
                <w:rFonts w:eastAsiaTheme="minorEastAsia"/>
              </w:rPr>
            </w:pPr>
            <w:r w:rsidRPr="00F116BE">
              <w:rPr>
                <w:rFonts w:eastAsiaTheme="minorEastAsia"/>
              </w:rPr>
              <w:t>(0.0</w:t>
            </w:r>
            <w:r>
              <w:rPr>
                <w:rFonts w:eastAsiaTheme="minorEastAsia"/>
              </w:rPr>
              <w:t>6</w:t>
            </w:r>
            <w:r w:rsidRPr="00F116BE">
              <w:rPr>
                <w:rFonts w:eastAsiaTheme="minorEastAsia"/>
              </w:rPr>
              <w:t>)</w:t>
            </w:r>
          </w:p>
        </w:tc>
      </w:tr>
      <w:tr w:rsidR="00493B2B" w:rsidRPr="00F116BE" w14:paraId="5D8B8336" w14:textId="77777777" w:rsidTr="0022217C">
        <w:trPr>
          <w:jc w:val="center"/>
        </w:trPr>
        <w:tc>
          <w:tcPr>
            <w:tcW w:w="0" w:type="auto"/>
            <w:tcBorders>
              <w:top w:val="nil"/>
              <w:left w:val="nil"/>
              <w:bottom w:val="nil"/>
              <w:right w:val="nil"/>
            </w:tcBorders>
          </w:tcPr>
          <w:p w14:paraId="321379AF" w14:textId="77777777" w:rsidR="00493B2B" w:rsidRPr="00F116BE" w:rsidRDefault="00493B2B" w:rsidP="00825BA7">
            <w:pPr>
              <w:jc w:val="both"/>
              <w:rPr>
                <w:rFonts w:eastAsiaTheme="minorEastAsia"/>
                <w:vertAlign w:val="subscript"/>
              </w:rPr>
            </w:pPr>
            <w:proofErr w:type="spellStart"/>
            <w:r w:rsidRPr="00F116BE">
              <w:rPr>
                <w:rFonts w:eastAsiaTheme="minorEastAsia"/>
              </w:rPr>
              <w:t>NVIX</w:t>
            </w:r>
            <w:r w:rsidRPr="00F116BE">
              <w:rPr>
                <w:rFonts w:eastAsiaTheme="minorEastAsia"/>
                <w:vertAlign w:val="subscript"/>
              </w:rPr>
              <w:t>t</w:t>
            </w:r>
            <w:proofErr w:type="spellEnd"/>
          </w:p>
        </w:tc>
        <w:tc>
          <w:tcPr>
            <w:tcW w:w="0" w:type="auto"/>
            <w:tcBorders>
              <w:top w:val="nil"/>
              <w:left w:val="nil"/>
              <w:bottom w:val="nil"/>
              <w:right w:val="nil"/>
            </w:tcBorders>
          </w:tcPr>
          <w:p w14:paraId="30300CAF" w14:textId="77777777" w:rsidR="00493B2B" w:rsidRPr="00F116BE" w:rsidRDefault="00493B2B" w:rsidP="00825BA7">
            <w:pPr>
              <w:jc w:val="center"/>
              <w:rPr>
                <w:rFonts w:eastAsiaTheme="minorEastAsia"/>
              </w:rPr>
            </w:pPr>
          </w:p>
        </w:tc>
        <w:tc>
          <w:tcPr>
            <w:tcW w:w="0" w:type="auto"/>
            <w:tcBorders>
              <w:top w:val="nil"/>
              <w:left w:val="nil"/>
              <w:bottom w:val="nil"/>
              <w:right w:val="nil"/>
            </w:tcBorders>
          </w:tcPr>
          <w:p w14:paraId="3E6374CF" w14:textId="77777777" w:rsidR="00493B2B" w:rsidRPr="00F116BE" w:rsidRDefault="00493B2B" w:rsidP="00825BA7">
            <w:pPr>
              <w:jc w:val="center"/>
              <w:rPr>
                <w:rFonts w:eastAsiaTheme="minorEastAsia"/>
              </w:rPr>
            </w:pPr>
            <w:r w:rsidRPr="00F116BE">
              <w:rPr>
                <w:rFonts w:eastAsiaTheme="minorEastAsia"/>
              </w:rPr>
              <w:t>1.12</w:t>
            </w:r>
          </w:p>
          <w:p w14:paraId="0884FDDF" w14:textId="77777777" w:rsidR="00493B2B" w:rsidRPr="00F116BE" w:rsidRDefault="00493B2B" w:rsidP="00825BA7">
            <w:pPr>
              <w:jc w:val="center"/>
              <w:rPr>
                <w:rFonts w:eastAsiaTheme="minorEastAsia"/>
              </w:rPr>
            </w:pPr>
            <w:r>
              <w:rPr>
                <w:rFonts w:eastAsiaTheme="minorEastAsia"/>
              </w:rPr>
              <w:t>(0.12</w:t>
            </w:r>
            <w:r w:rsidRPr="00F116BE">
              <w:rPr>
                <w:rFonts w:eastAsiaTheme="minorEastAsia"/>
              </w:rPr>
              <w:t>)</w:t>
            </w:r>
          </w:p>
        </w:tc>
        <w:tc>
          <w:tcPr>
            <w:tcW w:w="0" w:type="auto"/>
            <w:tcBorders>
              <w:top w:val="nil"/>
              <w:left w:val="nil"/>
              <w:bottom w:val="nil"/>
              <w:right w:val="nil"/>
            </w:tcBorders>
          </w:tcPr>
          <w:p w14:paraId="710C113A" w14:textId="77777777" w:rsidR="00493B2B" w:rsidRPr="00F116BE" w:rsidRDefault="00493B2B" w:rsidP="00825BA7">
            <w:pPr>
              <w:jc w:val="center"/>
              <w:rPr>
                <w:rFonts w:eastAsiaTheme="minorEastAsia"/>
              </w:rPr>
            </w:pPr>
          </w:p>
        </w:tc>
        <w:tc>
          <w:tcPr>
            <w:tcW w:w="0" w:type="auto"/>
            <w:tcBorders>
              <w:top w:val="nil"/>
              <w:left w:val="nil"/>
              <w:bottom w:val="nil"/>
              <w:right w:val="nil"/>
            </w:tcBorders>
          </w:tcPr>
          <w:p w14:paraId="76FDC744" w14:textId="77777777" w:rsidR="00493B2B" w:rsidRPr="00F116BE" w:rsidRDefault="00493B2B" w:rsidP="00825BA7">
            <w:pPr>
              <w:jc w:val="center"/>
              <w:rPr>
                <w:rFonts w:eastAsiaTheme="minorEastAsia"/>
              </w:rPr>
            </w:pPr>
            <w:r w:rsidRPr="00F116BE">
              <w:rPr>
                <w:rFonts w:eastAsiaTheme="minorEastAsia"/>
              </w:rPr>
              <w:t>0.53</w:t>
            </w:r>
          </w:p>
          <w:p w14:paraId="00D27CCF" w14:textId="77777777" w:rsidR="00493B2B" w:rsidRPr="00F116BE" w:rsidRDefault="00493B2B" w:rsidP="00825BA7">
            <w:pPr>
              <w:jc w:val="center"/>
              <w:rPr>
                <w:rFonts w:eastAsiaTheme="minorEastAsia"/>
              </w:rPr>
            </w:pPr>
            <w:r w:rsidRPr="00F116BE">
              <w:rPr>
                <w:rFonts w:eastAsiaTheme="minorEastAsia"/>
              </w:rPr>
              <w:t>(0.</w:t>
            </w:r>
            <w:r>
              <w:rPr>
                <w:rFonts w:eastAsiaTheme="minorEastAsia"/>
              </w:rPr>
              <w:t>11</w:t>
            </w:r>
            <w:r w:rsidRPr="00F116BE">
              <w:rPr>
                <w:rFonts w:eastAsiaTheme="minorEastAsia"/>
              </w:rPr>
              <w:t>)</w:t>
            </w:r>
          </w:p>
        </w:tc>
        <w:tc>
          <w:tcPr>
            <w:tcW w:w="0" w:type="auto"/>
            <w:tcBorders>
              <w:top w:val="nil"/>
              <w:left w:val="nil"/>
              <w:bottom w:val="nil"/>
              <w:right w:val="nil"/>
            </w:tcBorders>
          </w:tcPr>
          <w:p w14:paraId="260AC37A" w14:textId="77777777" w:rsidR="00493B2B" w:rsidRPr="00F116BE" w:rsidRDefault="00493B2B" w:rsidP="00825BA7">
            <w:pPr>
              <w:jc w:val="center"/>
              <w:rPr>
                <w:rFonts w:eastAsiaTheme="minorEastAsia"/>
              </w:rPr>
            </w:pPr>
            <w:r w:rsidRPr="00F116BE">
              <w:rPr>
                <w:rFonts w:eastAsiaTheme="minorEastAsia"/>
              </w:rPr>
              <w:t>0.61</w:t>
            </w:r>
          </w:p>
          <w:p w14:paraId="05F9F498" w14:textId="77777777" w:rsidR="00493B2B" w:rsidRPr="00F116BE" w:rsidRDefault="00493B2B" w:rsidP="00825BA7">
            <w:pPr>
              <w:jc w:val="center"/>
              <w:rPr>
                <w:rFonts w:eastAsiaTheme="minorEastAsia"/>
              </w:rPr>
            </w:pPr>
            <w:r>
              <w:rPr>
                <w:rFonts w:eastAsiaTheme="minorEastAsia"/>
              </w:rPr>
              <w:t>(0.12</w:t>
            </w:r>
            <w:r w:rsidRPr="00F116BE">
              <w:rPr>
                <w:rFonts w:eastAsiaTheme="minorEastAsia"/>
              </w:rPr>
              <w:t>)</w:t>
            </w:r>
          </w:p>
        </w:tc>
        <w:tc>
          <w:tcPr>
            <w:tcW w:w="0" w:type="auto"/>
            <w:tcBorders>
              <w:top w:val="nil"/>
              <w:left w:val="nil"/>
              <w:bottom w:val="nil"/>
              <w:right w:val="nil"/>
            </w:tcBorders>
          </w:tcPr>
          <w:p w14:paraId="61291EF4" w14:textId="77777777" w:rsidR="00493B2B" w:rsidRPr="00F116BE" w:rsidRDefault="00493B2B" w:rsidP="00825BA7">
            <w:pPr>
              <w:jc w:val="center"/>
              <w:rPr>
                <w:rFonts w:eastAsiaTheme="minorEastAsia"/>
              </w:rPr>
            </w:pPr>
            <w:r w:rsidRPr="00F116BE">
              <w:rPr>
                <w:rFonts w:eastAsiaTheme="minorEastAsia"/>
              </w:rPr>
              <w:t>0.3</w:t>
            </w:r>
            <w:r>
              <w:rPr>
                <w:rFonts w:eastAsiaTheme="minorEastAsia"/>
              </w:rPr>
              <w:t>2</w:t>
            </w:r>
          </w:p>
          <w:p w14:paraId="019573E3" w14:textId="77777777" w:rsidR="00493B2B" w:rsidRPr="00F116BE" w:rsidRDefault="00493B2B" w:rsidP="00825BA7">
            <w:pPr>
              <w:jc w:val="center"/>
              <w:rPr>
                <w:rFonts w:eastAsiaTheme="minorEastAsia"/>
              </w:rPr>
            </w:pPr>
            <w:r w:rsidRPr="00F116BE">
              <w:rPr>
                <w:rFonts w:eastAsiaTheme="minorEastAsia"/>
              </w:rPr>
              <w:t>(0.07)</w:t>
            </w:r>
          </w:p>
        </w:tc>
      </w:tr>
      <w:tr w:rsidR="00493B2B" w:rsidRPr="00F116BE" w14:paraId="517762CF" w14:textId="77777777" w:rsidTr="0022217C">
        <w:trPr>
          <w:jc w:val="center"/>
        </w:trPr>
        <w:tc>
          <w:tcPr>
            <w:tcW w:w="0" w:type="auto"/>
            <w:tcBorders>
              <w:top w:val="nil"/>
              <w:left w:val="nil"/>
              <w:bottom w:val="single" w:sz="4" w:space="0" w:color="auto"/>
              <w:right w:val="nil"/>
            </w:tcBorders>
          </w:tcPr>
          <w:p w14:paraId="4C358DDA" w14:textId="77777777" w:rsidR="00493B2B" w:rsidRPr="00F116BE" w:rsidRDefault="00493B2B" w:rsidP="00825BA7">
            <w:pPr>
              <w:jc w:val="both"/>
              <w:rPr>
                <w:rFonts w:eastAsiaTheme="minorEastAsia"/>
                <w:vertAlign w:val="subscript"/>
              </w:rPr>
            </w:pPr>
            <w:r w:rsidRPr="00F116BE">
              <w:rPr>
                <w:rFonts w:eastAsiaTheme="minorEastAsia"/>
              </w:rPr>
              <w:t>VIX</w:t>
            </w:r>
            <w:r w:rsidRPr="00F116BE">
              <w:rPr>
                <w:rFonts w:eastAsiaTheme="minorEastAsia"/>
                <w:vertAlign w:val="subscript"/>
              </w:rPr>
              <w:t>t-1</w:t>
            </w:r>
          </w:p>
        </w:tc>
        <w:tc>
          <w:tcPr>
            <w:tcW w:w="0" w:type="auto"/>
            <w:tcBorders>
              <w:top w:val="nil"/>
              <w:left w:val="nil"/>
              <w:bottom w:val="single" w:sz="4" w:space="0" w:color="auto"/>
              <w:right w:val="nil"/>
            </w:tcBorders>
          </w:tcPr>
          <w:p w14:paraId="3D8FC454" w14:textId="77777777" w:rsidR="00493B2B" w:rsidRPr="00F116BE" w:rsidRDefault="00493B2B" w:rsidP="00825BA7">
            <w:pPr>
              <w:jc w:val="center"/>
              <w:rPr>
                <w:rFonts w:eastAsiaTheme="minorEastAsia"/>
              </w:rPr>
            </w:pPr>
          </w:p>
        </w:tc>
        <w:tc>
          <w:tcPr>
            <w:tcW w:w="0" w:type="auto"/>
            <w:tcBorders>
              <w:top w:val="nil"/>
              <w:left w:val="nil"/>
              <w:bottom w:val="single" w:sz="4" w:space="0" w:color="auto"/>
              <w:right w:val="nil"/>
            </w:tcBorders>
          </w:tcPr>
          <w:p w14:paraId="4F6BA614" w14:textId="77777777" w:rsidR="00493B2B" w:rsidRPr="00F116BE" w:rsidRDefault="00493B2B" w:rsidP="00825BA7">
            <w:pPr>
              <w:jc w:val="center"/>
              <w:rPr>
                <w:rFonts w:eastAsiaTheme="minorEastAsia"/>
              </w:rPr>
            </w:pPr>
          </w:p>
        </w:tc>
        <w:tc>
          <w:tcPr>
            <w:tcW w:w="0" w:type="auto"/>
            <w:tcBorders>
              <w:top w:val="nil"/>
              <w:left w:val="nil"/>
              <w:bottom w:val="single" w:sz="4" w:space="0" w:color="auto"/>
              <w:right w:val="nil"/>
            </w:tcBorders>
          </w:tcPr>
          <w:p w14:paraId="6FCF25C1" w14:textId="77777777" w:rsidR="00493B2B" w:rsidRPr="00F116BE" w:rsidRDefault="00493B2B" w:rsidP="00825BA7">
            <w:pPr>
              <w:jc w:val="center"/>
              <w:rPr>
                <w:rFonts w:eastAsiaTheme="minorEastAsia"/>
              </w:rPr>
            </w:pPr>
            <w:r w:rsidRPr="00F116BE">
              <w:rPr>
                <w:rFonts w:eastAsiaTheme="minorEastAsia"/>
              </w:rPr>
              <w:t>0.58</w:t>
            </w:r>
          </w:p>
          <w:p w14:paraId="78E84ACE" w14:textId="77777777" w:rsidR="00493B2B" w:rsidRPr="00F116BE" w:rsidRDefault="00493B2B" w:rsidP="00825BA7">
            <w:pPr>
              <w:jc w:val="center"/>
              <w:rPr>
                <w:rFonts w:eastAsiaTheme="minorEastAsia"/>
              </w:rPr>
            </w:pPr>
            <w:r w:rsidRPr="00F116BE">
              <w:rPr>
                <w:rFonts w:eastAsiaTheme="minorEastAsia"/>
              </w:rPr>
              <w:t>(</w:t>
            </w:r>
            <w:r>
              <w:rPr>
                <w:rFonts w:eastAsiaTheme="minorEastAsia"/>
              </w:rPr>
              <w:t>0.08</w:t>
            </w:r>
            <w:r w:rsidRPr="00F116BE">
              <w:rPr>
                <w:rFonts w:eastAsiaTheme="minorEastAsia"/>
              </w:rPr>
              <w:t>)</w:t>
            </w:r>
          </w:p>
        </w:tc>
        <w:tc>
          <w:tcPr>
            <w:tcW w:w="0" w:type="auto"/>
            <w:tcBorders>
              <w:top w:val="nil"/>
              <w:left w:val="nil"/>
              <w:bottom w:val="single" w:sz="4" w:space="0" w:color="auto"/>
              <w:right w:val="nil"/>
            </w:tcBorders>
          </w:tcPr>
          <w:p w14:paraId="028ABE0C" w14:textId="77777777" w:rsidR="00493B2B" w:rsidRPr="00F116BE" w:rsidRDefault="00493B2B" w:rsidP="00825BA7">
            <w:pPr>
              <w:jc w:val="center"/>
              <w:rPr>
                <w:rFonts w:eastAsiaTheme="minorEastAsia"/>
              </w:rPr>
            </w:pPr>
            <w:r w:rsidRPr="00F116BE">
              <w:rPr>
                <w:rFonts w:eastAsiaTheme="minorEastAsia"/>
              </w:rPr>
              <w:t>0.65</w:t>
            </w:r>
          </w:p>
          <w:p w14:paraId="1FA9738E" w14:textId="77777777" w:rsidR="00493B2B" w:rsidRPr="00F116BE" w:rsidRDefault="00493B2B" w:rsidP="00825BA7">
            <w:pPr>
              <w:jc w:val="center"/>
              <w:rPr>
                <w:rFonts w:eastAsiaTheme="minorEastAsia"/>
              </w:rPr>
            </w:pPr>
            <w:r w:rsidRPr="00F116BE">
              <w:rPr>
                <w:rFonts w:eastAsiaTheme="minorEastAsia"/>
              </w:rPr>
              <w:t>(</w:t>
            </w:r>
            <w:r>
              <w:rPr>
                <w:rFonts w:eastAsiaTheme="minorEastAsia"/>
              </w:rPr>
              <w:t>0.05</w:t>
            </w:r>
            <w:r w:rsidRPr="00F116BE">
              <w:rPr>
                <w:rFonts w:eastAsiaTheme="minorEastAsia"/>
              </w:rPr>
              <w:t>)</w:t>
            </w:r>
          </w:p>
        </w:tc>
        <w:tc>
          <w:tcPr>
            <w:tcW w:w="0" w:type="auto"/>
            <w:tcBorders>
              <w:top w:val="nil"/>
              <w:left w:val="nil"/>
              <w:bottom w:val="single" w:sz="4" w:space="0" w:color="auto"/>
              <w:right w:val="nil"/>
            </w:tcBorders>
          </w:tcPr>
          <w:p w14:paraId="42C2D3F9" w14:textId="77777777" w:rsidR="00493B2B" w:rsidRPr="00F116BE" w:rsidRDefault="00493B2B" w:rsidP="00825BA7">
            <w:pPr>
              <w:jc w:val="center"/>
              <w:rPr>
                <w:rFonts w:eastAsiaTheme="minorEastAsia"/>
              </w:rPr>
            </w:pPr>
          </w:p>
        </w:tc>
        <w:tc>
          <w:tcPr>
            <w:tcW w:w="0" w:type="auto"/>
            <w:tcBorders>
              <w:top w:val="nil"/>
              <w:left w:val="nil"/>
              <w:bottom w:val="single" w:sz="4" w:space="0" w:color="auto"/>
              <w:right w:val="nil"/>
            </w:tcBorders>
          </w:tcPr>
          <w:p w14:paraId="474AC994" w14:textId="77777777" w:rsidR="00493B2B" w:rsidRPr="00F116BE" w:rsidRDefault="00493B2B" w:rsidP="00825BA7">
            <w:pPr>
              <w:jc w:val="center"/>
              <w:rPr>
                <w:rFonts w:eastAsiaTheme="minorEastAsia"/>
              </w:rPr>
            </w:pPr>
            <w:r w:rsidRPr="00F116BE">
              <w:rPr>
                <w:rFonts w:eastAsiaTheme="minorEastAsia"/>
              </w:rPr>
              <w:t>0.50</w:t>
            </w:r>
          </w:p>
          <w:p w14:paraId="1B240F9B" w14:textId="77777777" w:rsidR="00493B2B" w:rsidRPr="00F116BE" w:rsidRDefault="00493B2B" w:rsidP="00825BA7">
            <w:pPr>
              <w:jc w:val="center"/>
              <w:rPr>
                <w:rFonts w:eastAsiaTheme="minorEastAsia"/>
              </w:rPr>
            </w:pPr>
            <w:r w:rsidRPr="00F116BE">
              <w:rPr>
                <w:rFonts w:eastAsiaTheme="minorEastAsia"/>
              </w:rPr>
              <w:t>(</w:t>
            </w:r>
            <w:r>
              <w:rPr>
                <w:rFonts w:eastAsiaTheme="minorEastAsia"/>
              </w:rPr>
              <w:t>0.07</w:t>
            </w:r>
            <w:r w:rsidRPr="00F116BE">
              <w:rPr>
                <w:rFonts w:eastAsiaTheme="minorEastAsia"/>
              </w:rPr>
              <w:t>)</w:t>
            </w:r>
          </w:p>
        </w:tc>
      </w:tr>
      <w:tr w:rsidR="00493B2B" w:rsidRPr="00F116BE" w14:paraId="72757760" w14:textId="77777777" w:rsidTr="0022217C">
        <w:trPr>
          <w:jc w:val="center"/>
        </w:trPr>
        <w:tc>
          <w:tcPr>
            <w:tcW w:w="0" w:type="auto"/>
            <w:tcBorders>
              <w:left w:val="nil"/>
              <w:bottom w:val="nil"/>
              <w:right w:val="nil"/>
            </w:tcBorders>
          </w:tcPr>
          <w:p w14:paraId="6C166D32" w14:textId="77777777" w:rsidR="00493B2B" w:rsidRPr="00F116BE" w:rsidRDefault="00493B2B" w:rsidP="00825BA7">
            <w:pPr>
              <w:jc w:val="both"/>
              <w:rPr>
                <w:rFonts w:eastAsiaTheme="minorEastAsia"/>
                <w:vertAlign w:val="superscript"/>
              </w:rPr>
            </w:pPr>
            <w:r w:rsidRPr="00F116BE">
              <w:rPr>
                <w:rFonts w:eastAsiaTheme="minorEastAsia"/>
              </w:rPr>
              <w:t>R</w:t>
            </w:r>
            <w:r w:rsidRPr="00F116BE">
              <w:rPr>
                <w:rFonts w:eastAsiaTheme="minorEastAsia"/>
                <w:vertAlign w:val="superscript"/>
              </w:rPr>
              <w:t>2</w:t>
            </w:r>
          </w:p>
        </w:tc>
        <w:tc>
          <w:tcPr>
            <w:tcW w:w="0" w:type="auto"/>
            <w:tcBorders>
              <w:left w:val="nil"/>
              <w:bottom w:val="nil"/>
              <w:right w:val="nil"/>
            </w:tcBorders>
          </w:tcPr>
          <w:p w14:paraId="33681ABD" w14:textId="77777777" w:rsidR="00493B2B" w:rsidRPr="00F116BE" w:rsidRDefault="00493B2B" w:rsidP="00825BA7">
            <w:pPr>
              <w:jc w:val="center"/>
              <w:rPr>
                <w:rFonts w:eastAsiaTheme="minorEastAsia"/>
              </w:rPr>
            </w:pPr>
            <w:r w:rsidRPr="00F116BE">
              <w:rPr>
                <w:rFonts w:eastAsiaTheme="minorEastAsia"/>
              </w:rPr>
              <w:t>0.61</w:t>
            </w:r>
          </w:p>
        </w:tc>
        <w:tc>
          <w:tcPr>
            <w:tcW w:w="0" w:type="auto"/>
            <w:tcBorders>
              <w:left w:val="nil"/>
              <w:bottom w:val="nil"/>
              <w:right w:val="nil"/>
            </w:tcBorders>
          </w:tcPr>
          <w:p w14:paraId="3BD69D00" w14:textId="77777777" w:rsidR="00493B2B" w:rsidRPr="00F116BE" w:rsidRDefault="00493B2B" w:rsidP="00825BA7">
            <w:pPr>
              <w:jc w:val="center"/>
              <w:rPr>
                <w:rFonts w:eastAsiaTheme="minorEastAsia"/>
              </w:rPr>
            </w:pPr>
            <w:r w:rsidRPr="00F116BE">
              <w:rPr>
                <w:rFonts w:eastAsiaTheme="minorEastAsia"/>
              </w:rPr>
              <w:t>0.48</w:t>
            </w:r>
          </w:p>
        </w:tc>
        <w:tc>
          <w:tcPr>
            <w:tcW w:w="0" w:type="auto"/>
            <w:tcBorders>
              <w:left w:val="nil"/>
              <w:bottom w:val="nil"/>
              <w:right w:val="nil"/>
            </w:tcBorders>
          </w:tcPr>
          <w:p w14:paraId="3351E8C2" w14:textId="77777777" w:rsidR="00493B2B" w:rsidRPr="00F116BE" w:rsidRDefault="00493B2B" w:rsidP="00825BA7">
            <w:pPr>
              <w:jc w:val="center"/>
              <w:rPr>
                <w:rFonts w:eastAsiaTheme="minorEastAsia"/>
              </w:rPr>
            </w:pPr>
            <w:r w:rsidRPr="00F116BE">
              <w:rPr>
                <w:rFonts w:eastAsiaTheme="minorEastAsia"/>
              </w:rPr>
              <w:t>0.83</w:t>
            </w:r>
          </w:p>
        </w:tc>
        <w:tc>
          <w:tcPr>
            <w:tcW w:w="0" w:type="auto"/>
            <w:tcBorders>
              <w:left w:val="nil"/>
              <w:bottom w:val="nil"/>
              <w:right w:val="nil"/>
            </w:tcBorders>
          </w:tcPr>
          <w:p w14:paraId="685B398F" w14:textId="77777777" w:rsidR="00493B2B" w:rsidRPr="00F116BE" w:rsidRDefault="00493B2B" w:rsidP="00825BA7">
            <w:pPr>
              <w:jc w:val="center"/>
              <w:rPr>
                <w:rFonts w:eastAsiaTheme="minorEastAsia"/>
              </w:rPr>
            </w:pPr>
            <w:r w:rsidRPr="00F116BE">
              <w:rPr>
                <w:rFonts w:eastAsiaTheme="minorEastAsia"/>
              </w:rPr>
              <w:t>0.77</w:t>
            </w:r>
          </w:p>
        </w:tc>
        <w:tc>
          <w:tcPr>
            <w:tcW w:w="0" w:type="auto"/>
            <w:tcBorders>
              <w:left w:val="nil"/>
              <w:bottom w:val="nil"/>
              <w:right w:val="nil"/>
            </w:tcBorders>
          </w:tcPr>
          <w:p w14:paraId="0EBC100C" w14:textId="77777777" w:rsidR="00493B2B" w:rsidRPr="00F116BE" w:rsidRDefault="00493B2B" w:rsidP="00825BA7">
            <w:pPr>
              <w:jc w:val="center"/>
              <w:rPr>
                <w:rFonts w:eastAsiaTheme="minorEastAsia"/>
              </w:rPr>
            </w:pPr>
            <w:r w:rsidRPr="00F116BE">
              <w:rPr>
                <w:rFonts w:eastAsiaTheme="minorEastAsia"/>
              </w:rPr>
              <w:t>0.71</w:t>
            </w:r>
          </w:p>
        </w:tc>
        <w:tc>
          <w:tcPr>
            <w:tcW w:w="0" w:type="auto"/>
            <w:tcBorders>
              <w:left w:val="nil"/>
              <w:bottom w:val="nil"/>
              <w:right w:val="nil"/>
            </w:tcBorders>
          </w:tcPr>
          <w:p w14:paraId="5FC061D1" w14:textId="77777777" w:rsidR="00493B2B" w:rsidRPr="00F116BE" w:rsidRDefault="00493B2B" w:rsidP="00825BA7">
            <w:pPr>
              <w:jc w:val="center"/>
              <w:rPr>
                <w:rFonts w:eastAsiaTheme="minorEastAsia"/>
              </w:rPr>
            </w:pPr>
            <w:r w:rsidRPr="00F116BE">
              <w:rPr>
                <w:rFonts w:eastAsiaTheme="minorEastAsia"/>
              </w:rPr>
              <w:t>0.85</w:t>
            </w:r>
          </w:p>
        </w:tc>
      </w:tr>
      <w:tr w:rsidR="00493B2B" w:rsidRPr="00F116BE" w14:paraId="2C42D26C" w14:textId="77777777" w:rsidTr="0022217C">
        <w:trPr>
          <w:jc w:val="center"/>
        </w:trPr>
        <w:tc>
          <w:tcPr>
            <w:tcW w:w="0" w:type="auto"/>
            <w:tcBorders>
              <w:top w:val="nil"/>
              <w:left w:val="nil"/>
              <w:bottom w:val="double" w:sz="4" w:space="0" w:color="auto"/>
              <w:right w:val="nil"/>
            </w:tcBorders>
          </w:tcPr>
          <w:p w14:paraId="1F717FA9" w14:textId="77777777" w:rsidR="00493B2B" w:rsidRPr="00F116BE" w:rsidRDefault="00493B2B" w:rsidP="00825BA7">
            <w:pPr>
              <w:jc w:val="both"/>
              <w:rPr>
                <w:rFonts w:eastAsiaTheme="minorEastAsia"/>
              </w:rPr>
            </w:pPr>
            <w:r w:rsidRPr="00F116BE">
              <w:rPr>
                <w:rFonts w:eastAsiaTheme="minorEastAsia"/>
              </w:rPr>
              <w:t>Observations</w:t>
            </w:r>
          </w:p>
        </w:tc>
        <w:tc>
          <w:tcPr>
            <w:tcW w:w="0" w:type="auto"/>
            <w:tcBorders>
              <w:top w:val="nil"/>
              <w:left w:val="nil"/>
              <w:bottom w:val="double" w:sz="4" w:space="0" w:color="auto"/>
              <w:right w:val="nil"/>
            </w:tcBorders>
          </w:tcPr>
          <w:p w14:paraId="603B2B84" w14:textId="77777777" w:rsidR="00493B2B" w:rsidRPr="00F116BE" w:rsidRDefault="00493B2B" w:rsidP="00825BA7">
            <w:pPr>
              <w:jc w:val="center"/>
              <w:rPr>
                <w:rFonts w:eastAsiaTheme="minorEastAsia"/>
              </w:rPr>
            </w:pPr>
            <w:r w:rsidRPr="00F116BE">
              <w:rPr>
                <w:rFonts w:eastAsiaTheme="minorEastAsia"/>
              </w:rPr>
              <w:t>374</w:t>
            </w:r>
          </w:p>
        </w:tc>
        <w:tc>
          <w:tcPr>
            <w:tcW w:w="0" w:type="auto"/>
            <w:tcBorders>
              <w:top w:val="nil"/>
              <w:left w:val="nil"/>
              <w:bottom w:val="double" w:sz="4" w:space="0" w:color="auto"/>
              <w:right w:val="nil"/>
            </w:tcBorders>
          </w:tcPr>
          <w:p w14:paraId="59015ED6" w14:textId="77777777" w:rsidR="00493B2B" w:rsidRPr="00F116BE" w:rsidRDefault="00493B2B" w:rsidP="00825BA7">
            <w:pPr>
              <w:jc w:val="center"/>
              <w:rPr>
                <w:rFonts w:eastAsiaTheme="minorEastAsia"/>
              </w:rPr>
            </w:pPr>
            <w:r w:rsidRPr="00F116BE">
              <w:rPr>
                <w:rFonts w:eastAsiaTheme="minorEastAsia"/>
              </w:rPr>
              <w:t>374</w:t>
            </w:r>
          </w:p>
        </w:tc>
        <w:tc>
          <w:tcPr>
            <w:tcW w:w="0" w:type="auto"/>
            <w:tcBorders>
              <w:top w:val="nil"/>
              <w:left w:val="nil"/>
              <w:bottom w:val="double" w:sz="4" w:space="0" w:color="auto"/>
              <w:right w:val="nil"/>
            </w:tcBorders>
          </w:tcPr>
          <w:p w14:paraId="24A0298F" w14:textId="77777777" w:rsidR="00493B2B" w:rsidRPr="00F116BE" w:rsidRDefault="00493B2B" w:rsidP="00825BA7">
            <w:pPr>
              <w:jc w:val="center"/>
              <w:rPr>
                <w:rFonts w:eastAsiaTheme="minorEastAsia"/>
              </w:rPr>
            </w:pPr>
            <w:r w:rsidRPr="00F116BE">
              <w:rPr>
                <w:rFonts w:eastAsiaTheme="minorEastAsia"/>
              </w:rPr>
              <w:t>372</w:t>
            </w:r>
          </w:p>
        </w:tc>
        <w:tc>
          <w:tcPr>
            <w:tcW w:w="0" w:type="auto"/>
            <w:tcBorders>
              <w:top w:val="nil"/>
              <w:left w:val="nil"/>
              <w:bottom w:val="double" w:sz="4" w:space="0" w:color="auto"/>
              <w:right w:val="nil"/>
            </w:tcBorders>
          </w:tcPr>
          <w:p w14:paraId="2F67296B" w14:textId="77777777" w:rsidR="00493B2B" w:rsidRPr="00F116BE" w:rsidRDefault="00493B2B" w:rsidP="00825BA7">
            <w:pPr>
              <w:jc w:val="center"/>
              <w:rPr>
                <w:rFonts w:eastAsiaTheme="minorEastAsia"/>
              </w:rPr>
            </w:pPr>
            <w:r w:rsidRPr="00F116BE">
              <w:rPr>
                <w:rFonts w:eastAsiaTheme="minorEastAsia"/>
              </w:rPr>
              <w:t>372</w:t>
            </w:r>
          </w:p>
        </w:tc>
        <w:tc>
          <w:tcPr>
            <w:tcW w:w="0" w:type="auto"/>
            <w:tcBorders>
              <w:top w:val="nil"/>
              <w:left w:val="nil"/>
              <w:bottom w:val="double" w:sz="4" w:space="0" w:color="auto"/>
              <w:right w:val="nil"/>
            </w:tcBorders>
          </w:tcPr>
          <w:p w14:paraId="23ACB8E0" w14:textId="77777777" w:rsidR="00493B2B" w:rsidRPr="00F116BE" w:rsidRDefault="00493B2B" w:rsidP="00825BA7">
            <w:pPr>
              <w:jc w:val="center"/>
              <w:rPr>
                <w:rFonts w:eastAsiaTheme="minorEastAsia"/>
              </w:rPr>
            </w:pPr>
            <w:r w:rsidRPr="00F116BE">
              <w:rPr>
                <w:rFonts w:eastAsiaTheme="minorEastAsia"/>
              </w:rPr>
              <w:t>374</w:t>
            </w:r>
          </w:p>
        </w:tc>
        <w:tc>
          <w:tcPr>
            <w:tcW w:w="0" w:type="auto"/>
            <w:tcBorders>
              <w:top w:val="nil"/>
              <w:left w:val="nil"/>
              <w:bottom w:val="double" w:sz="4" w:space="0" w:color="auto"/>
              <w:right w:val="nil"/>
            </w:tcBorders>
          </w:tcPr>
          <w:p w14:paraId="343D3C66" w14:textId="77777777" w:rsidR="00493B2B" w:rsidRPr="00F116BE" w:rsidRDefault="00493B2B" w:rsidP="00825BA7">
            <w:pPr>
              <w:jc w:val="center"/>
              <w:rPr>
                <w:rFonts w:eastAsiaTheme="minorEastAsia"/>
              </w:rPr>
            </w:pPr>
            <w:r w:rsidRPr="00F116BE">
              <w:rPr>
                <w:rFonts w:eastAsiaTheme="minorEastAsia"/>
              </w:rPr>
              <w:t>372</w:t>
            </w:r>
          </w:p>
        </w:tc>
      </w:tr>
    </w:tbl>
    <w:p w14:paraId="1A8F4A02" w14:textId="77777777" w:rsidR="00493B2B" w:rsidRDefault="00493B2B" w:rsidP="00493B2B">
      <w:pPr>
        <w:ind w:right="-720"/>
        <w:rPr>
          <w:rFonts w:eastAsiaTheme="minorEastAsia"/>
        </w:rPr>
      </w:pPr>
    </w:p>
    <w:p w14:paraId="0617013A" w14:textId="77777777" w:rsidR="00493B2B" w:rsidRDefault="00493B2B" w:rsidP="00493B2B">
      <w:pPr>
        <w:jc w:val="both"/>
        <w:rPr>
          <w:rFonts w:eastAsiaTheme="minorEastAsia"/>
        </w:rPr>
      </w:pPr>
      <w:r>
        <w:rPr>
          <w:rFonts w:eastAsiaTheme="minorEastAsia"/>
          <w:b/>
        </w:rPr>
        <w:t xml:space="preserve">Notes: </w:t>
      </w:r>
      <w:r>
        <w:rPr>
          <w:rFonts w:eastAsiaTheme="minorEastAsia"/>
        </w:rPr>
        <w:t xml:space="preserve">Each column reports a regression of VIX on the indicated row variables, using monthly data from January 1985 to March 2016. </w:t>
      </w:r>
      <w:r w:rsidRPr="0000185D">
        <w:rPr>
          <w:rFonts w:eastAsiaTheme="minorEastAsia"/>
        </w:rPr>
        <w:t>VIX</w:t>
      </w:r>
      <w:r>
        <w:rPr>
          <w:rFonts w:eastAsiaTheme="minorEastAsia"/>
        </w:rPr>
        <w:t xml:space="preserve"> is the </w:t>
      </w:r>
      <w:r w:rsidRPr="0000185D">
        <w:rPr>
          <w:rFonts w:eastAsiaTheme="minorEastAsia"/>
        </w:rPr>
        <w:t>monthly average of daily clos</w:t>
      </w:r>
      <w:r>
        <w:rPr>
          <w:rFonts w:eastAsiaTheme="minorEastAsia"/>
        </w:rPr>
        <w:t>ing values</w:t>
      </w:r>
      <w:r w:rsidRPr="0000185D">
        <w:rPr>
          <w:rFonts w:eastAsiaTheme="minorEastAsia"/>
        </w:rPr>
        <w:t xml:space="preserve"> </w:t>
      </w:r>
      <w:r>
        <w:rPr>
          <w:rFonts w:eastAsiaTheme="minorEastAsia"/>
        </w:rPr>
        <w:t xml:space="preserve">on the CBOE 30-day </w:t>
      </w:r>
      <w:r w:rsidRPr="0000185D">
        <w:rPr>
          <w:rFonts w:eastAsiaTheme="minorEastAsia"/>
        </w:rPr>
        <w:t>implied volatility index</w:t>
      </w:r>
      <w:r>
        <w:rPr>
          <w:rFonts w:eastAsiaTheme="minorEastAsia"/>
        </w:rPr>
        <w:t xml:space="preserve"> from January 1990 onwards, appended to data from Berger et al. (2019) in earlier years EMV is Equity Market Volatility tracker developed in Section 2.1. </w:t>
      </w:r>
      <w:r>
        <w:t xml:space="preserve">NVIX is the news-based volatility measure developed in </w:t>
      </w:r>
      <w:proofErr w:type="spellStart"/>
      <w:r>
        <w:t>Manela</w:t>
      </w:r>
      <w:proofErr w:type="spellEnd"/>
      <w:r>
        <w:t xml:space="preserve"> and Moreira (2017) using front-page abstracts and headlines in the </w:t>
      </w:r>
      <w:r w:rsidRPr="00027242">
        <w:rPr>
          <w:i/>
        </w:rPr>
        <w:t>Wall Street Journal</w:t>
      </w:r>
      <w:r>
        <w:rPr>
          <w:i/>
        </w:rPr>
        <w:t>.</w:t>
      </w:r>
    </w:p>
    <w:p w14:paraId="45B0D025" w14:textId="77777777" w:rsidR="001B69A9" w:rsidRPr="0022217C" w:rsidRDefault="001B69A9">
      <w:pPr>
        <w:spacing w:after="200" w:line="276" w:lineRule="auto"/>
        <w:rPr>
          <w:sz w:val="10"/>
          <w:szCs w:val="10"/>
        </w:rPr>
      </w:pPr>
    </w:p>
    <w:p w14:paraId="7BD47327" w14:textId="0C81BB92" w:rsidR="0022217C" w:rsidRDefault="003A336A" w:rsidP="0022217C">
      <w:pPr>
        <w:spacing w:after="200" w:line="276" w:lineRule="auto"/>
        <w:ind w:firstLine="720"/>
      </w:pPr>
      <w:r>
        <w:t>Table C.2</w:t>
      </w:r>
      <w:r w:rsidR="003F2FF6">
        <w:t xml:space="preserve"> explores the sensitivity to alternative newspaper weightings in regressions of VIX on EMV. Column (1) replicates our baseline specification reported in Column (1) of Table 2. The remaining rows </w:t>
      </w:r>
      <w:r w:rsidR="00851C5D">
        <w:t xml:space="preserve">adopt the same regression specification but double the weight on each newspaper, one at a time, in constructing the EMV tracker (Panel A), drop each newspaper one </w:t>
      </w:r>
      <w:r w:rsidR="00323CFB">
        <w:t xml:space="preserve">at </w:t>
      </w:r>
      <w:r w:rsidR="00851C5D">
        <w:t xml:space="preserve">a time (Panel B), </w:t>
      </w:r>
      <w:r w:rsidR="00B3379F">
        <w:t>or</w:t>
      </w:r>
      <w:r w:rsidR="00851C5D">
        <w:t xml:space="preserve"> use a single newspaper in constructing EMV (Panel C).</w:t>
      </w:r>
    </w:p>
    <w:p w14:paraId="5AB0B99A" w14:textId="1DB2F964" w:rsidR="0022217C" w:rsidRDefault="0022217C" w:rsidP="0022217C">
      <w:pPr>
        <w:spacing w:after="200" w:line="276" w:lineRule="auto"/>
        <w:ind w:firstLine="720"/>
        <w:sectPr w:rsidR="0022217C" w:rsidSect="001B69A9">
          <w:footerReference w:type="even" r:id="rId8"/>
          <w:footerReference w:type="default" r:id="rId9"/>
          <w:pgSz w:w="12240" w:h="15840"/>
          <w:pgMar w:top="1440" w:right="1440" w:bottom="1296" w:left="1440" w:header="720" w:footer="720" w:gutter="0"/>
          <w:cols w:space="720"/>
          <w:docGrid w:linePitch="360"/>
        </w:sectPr>
      </w:pPr>
      <w:r>
        <w:t xml:space="preserve">Figures C.3. displays a time series for the fraction of EMV articles that contain one or more of the “Policy” terms that Baker, Bloom and Davis (2016) use in constructing their newspaper-based Economic Policy Uncertainty </w:t>
      </w:r>
      <w:r w:rsidR="00356557">
        <w:t>I</w:t>
      </w:r>
      <w:r>
        <w:t xml:space="preserve">ndex for the United States. Figures C.4 </w:t>
      </w:r>
      <w:r w:rsidR="0051408C">
        <w:t>to C.7</w:t>
      </w:r>
      <w:r>
        <w:t xml:space="preserve"> display additional category-specific EMV trackers.</w:t>
      </w:r>
    </w:p>
    <w:p w14:paraId="03261D76" w14:textId="6E0B8836" w:rsidR="007561A4" w:rsidRDefault="007561A4">
      <w:pPr>
        <w:spacing w:after="200" w:line="276" w:lineRule="auto"/>
      </w:pPr>
    </w:p>
    <w:p w14:paraId="77AE8702" w14:textId="6EF4977E" w:rsidR="007561A4" w:rsidRPr="00F116BE" w:rsidRDefault="007561A4" w:rsidP="001B69A9">
      <w:pPr>
        <w:spacing w:after="200" w:line="276" w:lineRule="auto"/>
        <w:rPr>
          <w:b/>
        </w:rPr>
      </w:pPr>
      <w:r w:rsidRPr="00F116BE">
        <w:rPr>
          <w:b/>
        </w:rPr>
        <w:t xml:space="preserve">Table </w:t>
      </w:r>
      <w:r w:rsidR="001B69A9">
        <w:rPr>
          <w:b/>
        </w:rPr>
        <w:t>C.2</w:t>
      </w:r>
      <w:r w:rsidRPr="00F116BE">
        <w:rPr>
          <w:b/>
        </w:rPr>
        <w:t xml:space="preserve">: </w:t>
      </w:r>
      <w:r w:rsidR="003F5DFB">
        <w:rPr>
          <w:b/>
        </w:rPr>
        <w:t>Fit Sensitivity to Alternative</w:t>
      </w:r>
      <w:r w:rsidR="003F5DFB" w:rsidRPr="00F116BE">
        <w:rPr>
          <w:b/>
        </w:rPr>
        <w:t xml:space="preserve"> </w:t>
      </w:r>
      <w:r w:rsidR="003F5DFB">
        <w:rPr>
          <w:b/>
        </w:rPr>
        <w:t>N</w:t>
      </w:r>
      <w:r w:rsidR="003F5DFB" w:rsidRPr="00F116BE">
        <w:rPr>
          <w:b/>
        </w:rPr>
        <w:t xml:space="preserve">ewspaper </w:t>
      </w:r>
      <w:r w:rsidR="003F5DFB">
        <w:rPr>
          <w:b/>
        </w:rPr>
        <w:t>W</w:t>
      </w:r>
      <w:r w:rsidR="003F5DFB" w:rsidRPr="00F116BE">
        <w:rPr>
          <w:b/>
        </w:rPr>
        <w:t>eightings</w:t>
      </w:r>
      <w:r w:rsidR="003F5DFB">
        <w:rPr>
          <w:b/>
        </w:rPr>
        <w:t xml:space="preserve"> in Regressions of </w:t>
      </w:r>
      <w:r w:rsidRPr="00F116BE">
        <w:rPr>
          <w:b/>
        </w:rPr>
        <w:t xml:space="preserve">VIX </w:t>
      </w:r>
      <w:r w:rsidR="003F5DFB">
        <w:rPr>
          <w:b/>
        </w:rPr>
        <w:t xml:space="preserve">on </w:t>
      </w:r>
      <w:r w:rsidRPr="00F116BE">
        <w:rPr>
          <w:b/>
        </w:rPr>
        <w:t>EMV</w:t>
      </w:r>
      <w:r w:rsidR="003F5DFB">
        <w:rPr>
          <w:b/>
        </w:rPr>
        <w:t>, 1985-2017</w:t>
      </w:r>
    </w:p>
    <w:p w14:paraId="7D7E5F45" w14:textId="77777777" w:rsidR="007561A4" w:rsidRPr="00F116BE" w:rsidRDefault="007561A4" w:rsidP="007561A4">
      <w:pPr>
        <w:autoSpaceDE w:val="0"/>
        <w:autoSpaceDN w:val="0"/>
        <w:adjustRightInd w:val="0"/>
        <w:jc w:val="both"/>
      </w:pPr>
    </w:p>
    <w:tbl>
      <w:tblPr>
        <w:tblStyle w:val="TableGrid"/>
        <w:tblW w:w="5000" w:type="pct"/>
        <w:tblLook w:val="04A0" w:firstRow="1" w:lastRow="0" w:firstColumn="1" w:lastColumn="0" w:noHBand="0" w:noVBand="1"/>
      </w:tblPr>
      <w:tblGrid>
        <w:gridCol w:w="1323"/>
        <w:gridCol w:w="1043"/>
        <w:gridCol w:w="961"/>
        <w:gridCol w:w="1075"/>
        <w:gridCol w:w="89"/>
        <w:gridCol w:w="873"/>
        <w:gridCol w:w="1164"/>
        <w:gridCol w:w="873"/>
        <w:gridCol w:w="967"/>
        <w:gridCol w:w="1017"/>
        <w:gridCol w:w="959"/>
        <w:gridCol w:w="967"/>
        <w:gridCol w:w="970"/>
        <w:gridCol w:w="823"/>
      </w:tblGrid>
      <w:tr w:rsidR="007561A4" w:rsidRPr="00F116BE" w14:paraId="3CD45A2C" w14:textId="77777777" w:rsidTr="00A70FBA">
        <w:tc>
          <w:tcPr>
            <w:tcW w:w="505" w:type="pct"/>
            <w:tcBorders>
              <w:top w:val="double" w:sz="4" w:space="0" w:color="auto"/>
              <w:left w:val="nil"/>
              <w:bottom w:val="double" w:sz="4" w:space="0" w:color="auto"/>
              <w:right w:val="nil"/>
            </w:tcBorders>
          </w:tcPr>
          <w:p w14:paraId="7419CA88" w14:textId="77777777" w:rsidR="007561A4" w:rsidRPr="00F116BE" w:rsidRDefault="007561A4" w:rsidP="00032B91">
            <w:pPr>
              <w:autoSpaceDE w:val="0"/>
              <w:autoSpaceDN w:val="0"/>
              <w:adjustRightInd w:val="0"/>
              <w:jc w:val="both"/>
            </w:pPr>
          </w:p>
        </w:tc>
        <w:tc>
          <w:tcPr>
            <w:tcW w:w="398" w:type="pct"/>
            <w:tcBorders>
              <w:top w:val="double" w:sz="4" w:space="0" w:color="auto"/>
              <w:left w:val="nil"/>
              <w:bottom w:val="double" w:sz="4" w:space="0" w:color="auto"/>
              <w:right w:val="nil"/>
            </w:tcBorders>
          </w:tcPr>
          <w:p w14:paraId="1C7BB5F9" w14:textId="77777777" w:rsidR="007561A4" w:rsidRPr="00F116BE" w:rsidRDefault="007561A4" w:rsidP="00032B91">
            <w:pPr>
              <w:autoSpaceDE w:val="0"/>
              <w:autoSpaceDN w:val="0"/>
              <w:adjustRightInd w:val="0"/>
              <w:jc w:val="center"/>
            </w:pPr>
            <w:r w:rsidRPr="00F116BE">
              <w:t>(1)</w:t>
            </w:r>
          </w:p>
          <w:p w14:paraId="5100E0F5" w14:textId="77777777" w:rsidR="007561A4" w:rsidRPr="00F116BE" w:rsidRDefault="007561A4" w:rsidP="00032B91">
            <w:pPr>
              <w:autoSpaceDE w:val="0"/>
              <w:autoSpaceDN w:val="0"/>
              <w:adjustRightInd w:val="0"/>
              <w:jc w:val="center"/>
            </w:pPr>
            <w:r>
              <w:t>Baseline</w:t>
            </w:r>
          </w:p>
        </w:tc>
        <w:tc>
          <w:tcPr>
            <w:tcW w:w="367" w:type="pct"/>
            <w:tcBorders>
              <w:top w:val="double" w:sz="4" w:space="0" w:color="auto"/>
              <w:left w:val="nil"/>
              <w:bottom w:val="double" w:sz="4" w:space="0" w:color="auto"/>
              <w:right w:val="nil"/>
            </w:tcBorders>
          </w:tcPr>
          <w:p w14:paraId="29C2E621" w14:textId="77777777" w:rsidR="007561A4" w:rsidRPr="00F116BE" w:rsidRDefault="007561A4" w:rsidP="00032B91">
            <w:pPr>
              <w:autoSpaceDE w:val="0"/>
              <w:autoSpaceDN w:val="0"/>
              <w:adjustRightInd w:val="0"/>
              <w:jc w:val="center"/>
            </w:pPr>
            <w:r w:rsidRPr="00F116BE">
              <w:t>(2)</w:t>
            </w:r>
          </w:p>
          <w:p w14:paraId="350352A3" w14:textId="77777777" w:rsidR="007561A4" w:rsidRPr="00F116BE" w:rsidRDefault="007561A4" w:rsidP="00032B91">
            <w:pPr>
              <w:autoSpaceDE w:val="0"/>
              <w:autoSpaceDN w:val="0"/>
              <w:adjustRightInd w:val="0"/>
              <w:jc w:val="center"/>
            </w:pPr>
            <w:r w:rsidRPr="00F116BE">
              <w:t>Dallas MN</w:t>
            </w:r>
          </w:p>
        </w:tc>
        <w:tc>
          <w:tcPr>
            <w:tcW w:w="444" w:type="pct"/>
            <w:gridSpan w:val="2"/>
            <w:tcBorders>
              <w:top w:val="double" w:sz="4" w:space="0" w:color="auto"/>
              <w:left w:val="nil"/>
              <w:bottom w:val="double" w:sz="4" w:space="0" w:color="auto"/>
              <w:right w:val="nil"/>
            </w:tcBorders>
          </w:tcPr>
          <w:p w14:paraId="5B85F81A" w14:textId="77777777" w:rsidR="007561A4" w:rsidRPr="00F116BE" w:rsidRDefault="007561A4" w:rsidP="00032B91">
            <w:pPr>
              <w:autoSpaceDE w:val="0"/>
              <w:autoSpaceDN w:val="0"/>
              <w:adjustRightInd w:val="0"/>
              <w:jc w:val="center"/>
            </w:pPr>
            <w:r w:rsidRPr="00F116BE">
              <w:t>(3)</w:t>
            </w:r>
          </w:p>
          <w:p w14:paraId="3D8BE2D3" w14:textId="77777777" w:rsidR="007561A4" w:rsidRPr="00F116BE" w:rsidRDefault="007561A4" w:rsidP="00032B91">
            <w:pPr>
              <w:autoSpaceDE w:val="0"/>
              <w:autoSpaceDN w:val="0"/>
              <w:adjustRightInd w:val="0"/>
              <w:jc w:val="center"/>
            </w:pPr>
            <w:r w:rsidRPr="00F116BE">
              <w:t>Houston Chronicle</w:t>
            </w:r>
          </w:p>
        </w:tc>
        <w:tc>
          <w:tcPr>
            <w:tcW w:w="333" w:type="pct"/>
            <w:tcBorders>
              <w:top w:val="double" w:sz="4" w:space="0" w:color="auto"/>
              <w:left w:val="nil"/>
              <w:bottom w:val="double" w:sz="4" w:space="0" w:color="auto"/>
              <w:right w:val="nil"/>
            </w:tcBorders>
          </w:tcPr>
          <w:p w14:paraId="3A898947" w14:textId="77777777" w:rsidR="007561A4" w:rsidRPr="00F116BE" w:rsidRDefault="007561A4" w:rsidP="00032B91">
            <w:pPr>
              <w:autoSpaceDE w:val="0"/>
              <w:autoSpaceDN w:val="0"/>
              <w:adjustRightInd w:val="0"/>
              <w:jc w:val="center"/>
            </w:pPr>
            <w:r w:rsidRPr="00F116BE">
              <w:t>(4)</w:t>
            </w:r>
          </w:p>
          <w:p w14:paraId="49642D5A" w14:textId="77777777" w:rsidR="007561A4" w:rsidRPr="00F116BE" w:rsidRDefault="007561A4" w:rsidP="00032B91">
            <w:pPr>
              <w:autoSpaceDE w:val="0"/>
              <w:autoSpaceDN w:val="0"/>
              <w:adjustRightInd w:val="0"/>
              <w:jc w:val="center"/>
            </w:pPr>
            <w:r w:rsidRPr="00F116BE">
              <w:t>Miami Herald</w:t>
            </w:r>
          </w:p>
        </w:tc>
        <w:tc>
          <w:tcPr>
            <w:tcW w:w="444" w:type="pct"/>
            <w:tcBorders>
              <w:top w:val="double" w:sz="4" w:space="0" w:color="auto"/>
              <w:left w:val="nil"/>
              <w:bottom w:val="double" w:sz="4" w:space="0" w:color="auto"/>
              <w:right w:val="nil"/>
            </w:tcBorders>
          </w:tcPr>
          <w:p w14:paraId="232CB741" w14:textId="77777777" w:rsidR="007561A4" w:rsidRPr="00F116BE" w:rsidRDefault="007561A4" w:rsidP="00032B91">
            <w:pPr>
              <w:autoSpaceDE w:val="0"/>
              <w:autoSpaceDN w:val="0"/>
              <w:adjustRightInd w:val="0"/>
              <w:jc w:val="center"/>
            </w:pPr>
            <w:r w:rsidRPr="00F116BE">
              <w:t>(5)</w:t>
            </w:r>
          </w:p>
          <w:p w14:paraId="057EFF20" w14:textId="77777777" w:rsidR="007561A4" w:rsidRPr="00F116BE" w:rsidRDefault="007561A4" w:rsidP="00032B91">
            <w:pPr>
              <w:autoSpaceDE w:val="0"/>
              <w:autoSpaceDN w:val="0"/>
              <w:adjustRightInd w:val="0"/>
              <w:jc w:val="center"/>
            </w:pPr>
            <w:r w:rsidRPr="00F116BE">
              <w:t>SF Chronicle</w:t>
            </w:r>
          </w:p>
        </w:tc>
        <w:tc>
          <w:tcPr>
            <w:tcW w:w="333" w:type="pct"/>
            <w:tcBorders>
              <w:top w:val="double" w:sz="4" w:space="0" w:color="auto"/>
              <w:left w:val="nil"/>
              <w:bottom w:val="double" w:sz="4" w:space="0" w:color="auto"/>
              <w:right w:val="nil"/>
            </w:tcBorders>
          </w:tcPr>
          <w:p w14:paraId="740E1F2D" w14:textId="77777777" w:rsidR="007561A4" w:rsidRPr="00F116BE" w:rsidRDefault="007561A4" w:rsidP="00032B91">
            <w:pPr>
              <w:autoSpaceDE w:val="0"/>
              <w:autoSpaceDN w:val="0"/>
              <w:adjustRightInd w:val="0"/>
              <w:jc w:val="center"/>
            </w:pPr>
            <w:r w:rsidRPr="00F116BE">
              <w:t>(6)</w:t>
            </w:r>
          </w:p>
          <w:p w14:paraId="5CCEF629" w14:textId="77777777" w:rsidR="007561A4" w:rsidRPr="00F116BE" w:rsidRDefault="007561A4" w:rsidP="00032B91">
            <w:pPr>
              <w:autoSpaceDE w:val="0"/>
              <w:autoSpaceDN w:val="0"/>
              <w:adjustRightInd w:val="0"/>
              <w:jc w:val="center"/>
            </w:pPr>
            <w:r w:rsidRPr="00F116BE">
              <w:t>USA Today</w:t>
            </w:r>
          </w:p>
        </w:tc>
        <w:tc>
          <w:tcPr>
            <w:tcW w:w="369" w:type="pct"/>
            <w:tcBorders>
              <w:top w:val="double" w:sz="4" w:space="0" w:color="auto"/>
              <w:left w:val="nil"/>
              <w:bottom w:val="double" w:sz="4" w:space="0" w:color="auto"/>
              <w:right w:val="nil"/>
            </w:tcBorders>
          </w:tcPr>
          <w:p w14:paraId="0AC663A1" w14:textId="77777777" w:rsidR="007561A4" w:rsidRPr="00F116BE" w:rsidRDefault="007561A4" w:rsidP="00032B91">
            <w:pPr>
              <w:autoSpaceDE w:val="0"/>
              <w:autoSpaceDN w:val="0"/>
              <w:adjustRightInd w:val="0"/>
              <w:jc w:val="center"/>
            </w:pPr>
            <w:r w:rsidRPr="00F116BE">
              <w:t>(7)</w:t>
            </w:r>
          </w:p>
          <w:p w14:paraId="77E8DE11" w14:textId="77777777" w:rsidR="007561A4" w:rsidRPr="00F116BE" w:rsidRDefault="007561A4" w:rsidP="00032B91">
            <w:pPr>
              <w:autoSpaceDE w:val="0"/>
              <w:autoSpaceDN w:val="0"/>
              <w:adjustRightInd w:val="0"/>
              <w:jc w:val="center"/>
            </w:pPr>
            <w:r w:rsidRPr="00F116BE">
              <w:t>Boston Globe</w:t>
            </w:r>
          </w:p>
        </w:tc>
        <w:tc>
          <w:tcPr>
            <w:tcW w:w="388" w:type="pct"/>
            <w:tcBorders>
              <w:top w:val="double" w:sz="4" w:space="0" w:color="auto"/>
              <w:left w:val="nil"/>
              <w:bottom w:val="double" w:sz="4" w:space="0" w:color="auto"/>
              <w:right w:val="nil"/>
            </w:tcBorders>
          </w:tcPr>
          <w:p w14:paraId="3B9C366D" w14:textId="77777777" w:rsidR="007561A4" w:rsidRPr="00F116BE" w:rsidRDefault="007561A4" w:rsidP="00032B91">
            <w:pPr>
              <w:autoSpaceDE w:val="0"/>
              <w:autoSpaceDN w:val="0"/>
              <w:adjustRightInd w:val="0"/>
              <w:jc w:val="center"/>
            </w:pPr>
            <w:r w:rsidRPr="00F116BE">
              <w:t>(8)</w:t>
            </w:r>
          </w:p>
          <w:p w14:paraId="72E0BE00" w14:textId="77777777" w:rsidR="007561A4" w:rsidRPr="00F116BE" w:rsidRDefault="007561A4" w:rsidP="00032B91">
            <w:pPr>
              <w:autoSpaceDE w:val="0"/>
              <w:autoSpaceDN w:val="0"/>
              <w:adjustRightInd w:val="0"/>
              <w:jc w:val="center"/>
            </w:pPr>
            <w:r w:rsidRPr="00F116BE">
              <w:t>Chicago Tribune</w:t>
            </w:r>
          </w:p>
        </w:tc>
        <w:tc>
          <w:tcPr>
            <w:tcW w:w="366" w:type="pct"/>
            <w:tcBorders>
              <w:top w:val="double" w:sz="4" w:space="0" w:color="auto"/>
              <w:left w:val="nil"/>
              <w:bottom w:val="double" w:sz="4" w:space="0" w:color="auto"/>
              <w:right w:val="nil"/>
            </w:tcBorders>
          </w:tcPr>
          <w:p w14:paraId="32E5EE00" w14:textId="77777777" w:rsidR="007561A4" w:rsidRPr="00F116BE" w:rsidRDefault="007561A4" w:rsidP="00032B91">
            <w:pPr>
              <w:autoSpaceDE w:val="0"/>
              <w:autoSpaceDN w:val="0"/>
              <w:adjustRightInd w:val="0"/>
              <w:jc w:val="center"/>
            </w:pPr>
            <w:r w:rsidRPr="00F116BE">
              <w:t>(9)</w:t>
            </w:r>
          </w:p>
          <w:p w14:paraId="39E85456" w14:textId="77777777" w:rsidR="007561A4" w:rsidRPr="00F116BE" w:rsidRDefault="007561A4" w:rsidP="00032B91">
            <w:pPr>
              <w:autoSpaceDE w:val="0"/>
              <w:autoSpaceDN w:val="0"/>
              <w:adjustRightInd w:val="0"/>
              <w:jc w:val="center"/>
            </w:pPr>
            <w:r w:rsidRPr="00F116BE">
              <w:t>WSJ</w:t>
            </w:r>
          </w:p>
        </w:tc>
        <w:tc>
          <w:tcPr>
            <w:tcW w:w="369" w:type="pct"/>
            <w:tcBorders>
              <w:top w:val="double" w:sz="4" w:space="0" w:color="auto"/>
              <w:left w:val="nil"/>
              <w:bottom w:val="double" w:sz="4" w:space="0" w:color="auto"/>
              <w:right w:val="nil"/>
            </w:tcBorders>
          </w:tcPr>
          <w:p w14:paraId="20F83505" w14:textId="77777777" w:rsidR="007561A4" w:rsidRPr="00F116BE" w:rsidRDefault="007561A4" w:rsidP="00032B91">
            <w:pPr>
              <w:autoSpaceDE w:val="0"/>
              <w:autoSpaceDN w:val="0"/>
              <w:adjustRightInd w:val="0"/>
              <w:jc w:val="center"/>
            </w:pPr>
            <w:r w:rsidRPr="00F116BE">
              <w:t>(10)</w:t>
            </w:r>
          </w:p>
          <w:p w14:paraId="6D16C91F" w14:textId="77777777" w:rsidR="007561A4" w:rsidRPr="00F116BE" w:rsidRDefault="007561A4" w:rsidP="00032B91">
            <w:pPr>
              <w:autoSpaceDE w:val="0"/>
              <w:autoSpaceDN w:val="0"/>
              <w:adjustRightInd w:val="0"/>
              <w:jc w:val="center"/>
            </w:pPr>
            <w:r w:rsidRPr="00F116BE">
              <w:t>NYT</w:t>
            </w:r>
          </w:p>
        </w:tc>
        <w:tc>
          <w:tcPr>
            <w:tcW w:w="370" w:type="pct"/>
            <w:tcBorders>
              <w:top w:val="double" w:sz="4" w:space="0" w:color="auto"/>
              <w:left w:val="nil"/>
              <w:bottom w:val="double" w:sz="4" w:space="0" w:color="auto"/>
              <w:right w:val="nil"/>
            </w:tcBorders>
          </w:tcPr>
          <w:p w14:paraId="1E2E8EF8" w14:textId="77777777" w:rsidR="007561A4" w:rsidRPr="00F116BE" w:rsidRDefault="007561A4" w:rsidP="00032B91">
            <w:pPr>
              <w:autoSpaceDE w:val="0"/>
              <w:autoSpaceDN w:val="0"/>
              <w:adjustRightInd w:val="0"/>
              <w:jc w:val="center"/>
            </w:pPr>
            <w:r w:rsidRPr="00F116BE">
              <w:t>(11)</w:t>
            </w:r>
          </w:p>
          <w:p w14:paraId="7B2F785D" w14:textId="77777777" w:rsidR="007561A4" w:rsidRPr="00F116BE" w:rsidRDefault="007561A4" w:rsidP="00032B91">
            <w:pPr>
              <w:autoSpaceDE w:val="0"/>
              <w:autoSpaceDN w:val="0"/>
              <w:adjustRightInd w:val="0"/>
              <w:jc w:val="center"/>
            </w:pPr>
            <w:r w:rsidRPr="00F116BE">
              <w:t>LAT</w:t>
            </w:r>
          </w:p>
        </w:tc>
        <w:tc>
          <w:tcPr>
            <w:tcW w:w="314" w:type="pct"/>
            <w:tcBorders>
              <w:top w:val="double" w:sz="4" w:space="0" w:color="auto"/>
              <w:left w:val="nil"/>
              <w:bottom w:val="double" w:sz="4" w:space="0" w:color="auto"/>
              <w:right w:val="nil"/>
            </w:tcBorders>
          </w:tcPr>
          <w:p w14:paraId="6729716F" w14:textId="77777777" w:rsidR="007561A4" w:rsidRPr="00F116BE" w:rsidRDefault="007561A4" w:rsidP="00032B91">
            <w:pPr>
              <w:autoSpaceDE w:val="0"/>
              <w:autoSpaceDN w:val="0"/>
              <w:adjustRightInd w:val="0"/>
              <w:jc w:val="center"/>
            </w:pPr>
            <w:r w:rsidRPr="00F116BE">
              <w:t>(12)</w:t>
            </w:r>
          </w:p>
          <w:p w14:paraId="3BF18DA9" w14:textId="77777777" w:rsidR="007561A4" w:rsidRPr="00F116BE" w:rsidRDefault="007561A4" w:rsidP="00032B91">
            <w:pPr>
              <w:autoSpaceDE w:val="0"/>
              <w:autoSpaceDN w:val="0"/>
              <w:adjustRightInd w:val="0"/>
              <w:jc w:val="center"/>
            </w:pPr>
            <w:r w:rsidRPr="00F116BE">
              <w:t>Wash. Post</w:t>
            </w:r>
          </w:p>
        </w:tc>
      </w:tr>
      <w:tr w:rsidR="00032B91" w:rsidRPr="00F116BE" w14:paraId="395D0D28" w14:textId="77777777" w:rsidTr="00032B91">
        <w:tc>
          <w:tcPr>
            <w:tcW w:w="5000" w:type="pct"/>
            <w:gridSpan w:val="14"/>
            <w:tcBorders>
              <w:top w:val="double" w:sz="4" w:space="0" w:color="auto"/>
              <w:left w:val="nil"/>
              <w:bottom w:val="nil"/>
              <w:right w:val="nil"/>
            </w:tcBorders>
          </w:tcPr>
          <w:p w14:paraId="0B8646F6" w14:textId="0FF273C0" w:rsidR="00032B91" w:rsidRPr="00F116BE" w:rsidRDefault="00032B91" w:rsidP="003F5DFB">
            <w:pPr>
              <w:autoSpaceDE w:val="0"/>
              <w:autoSpaceDN w:val="0"/>
              <w:adjustRightInd w:val="0"/>
            </w:pPr>
            <w:r w:rsidRPr="007E18DA">
              <w:rPr>
                <w:b/>
              </w:rPr>
              <w:t>Panel A</w:t>
            </w:r>
            <w:r>
              <w:rPr>
                <w:b/>
              </w:rPr>
              <w:t xml:space="preserve">: Doubling the weight on </w:t>
            </w:r>
            <w:r w:rsidR="003F5DFB">
              <w:rPr>
                <w:b/>
              </w:rPr>
              <w:t>the indicated newspaper</w:t>
            </w:r>
          </w:p>
        </w:tc>
      </w:tr>
      <w:tr w:rsidR="007561A4" w:rsidRPr="00F116BE" w14:paraId="25796850" w14:textId="77777777" w:rsidTr="00A70FBA">
        <w:tc>
          <w:tcPr>
            <w:tcW w:w="505" w:type="pct"/>
            <w:tcBorders>
              <w:top w:val="double" w:sz="4" w:space="0" w:color="auto"/>
              <w:left w:val="nil"/>
              <w:bottom w:val="nil"/>
              <w:right w:val="nil"/>
            </w:tcBorders>
          </w:tcPr>
          <w:p w14:paraId="41CE7D71" w14:textId="77777777" w:rsidR="007561A4" w:rsidRPr="007E18DA" w:rsidRDefault="007561A4" w:rsidP="00032B91">
            <w:pPr>
              <w:autoSpaceDE w:val="0"/>
              <w:autoSpaceDN w:val="0"/>
              <w:adjustRightInd w:val="0"/>
              <w:jc w:val="both"/>
              <w:rPr>
                <w:b/>
              </w:rPr>
            </w:pPr>
          </w:p>
        </w:tc>
        <w:tc>
          <w:tcPr>
            <w:tcW w:w="398" w:type="pct"/>
            <w:tcBorders>
              <w:top w:val="double" w:sz="4" w:space="0" w:color="auto"/>
              <w:left w:val="nil"/>
              <w:bottom w:val="nil"/>
              <w:right w:val="nil"/>
            </w:tcBorders>
          </w:tcPr>
          <w:p w14:paraId="29AF1D96" w14:textId="77777777" w:rsidR="007561A4" w:rsidRPr="00F116BE" w:rsidRDefault="007561A4" w:rsidP="00032B91">
            <w:pPr>
              <w:autoSpaceDE w:val="0"/>
              <w:autoSpaceDN w:val="0"/>
              <w:adjustRightInd w:val="0"/>
              <w:jc w:val="center"/>
            </w:pPr>
          </w:p>
        </w:tc>
        <w:tc>
          <w:tcPr>
            <w:tcW w:w="367" w:type="pct"/>
            <w:tcBorders>
              <w:top w:val="double" w:sz="4" w:space="0" w:color="auto"/>
              <w:left w:val="nil"/>
              <w:bottom w:val="nil"/>
              <w:right w:val="nil"/>
            </w:tcBorders>
          </w:tcPr>
          <w:p w14:paraId="3E0ECC8C" w14:textId="77777777" w:rsidR="007561A4" w:rsidRPr="00F116BE" w:rsidRDefault="007561A4" w:rsidP="00032B91">
            <w:pPr>
              <w:autoSpaceDE w:val="0"/>
              <w:autoSpaceDN w:val="0"/>
              <w:adjustRightInd w:val="0"/>
              <w:jc w:val="center"/>
            </w:pPr>
          </w:p>
        </w:tc>
        <w:tc>
          <w:tcPr>
            <w:tcW w:w="410" w:type="pct"/>
            <w:tcBorders>
              <w:top w:val="double" w:sz="4" w:space="0" w:color="auto"/>
              <w:left w:val="nil"/>
              <w:bottom w:val="nil"/>
              <w:right w:val="nil"/>
            </w:tcBorders>
          </w:tcPr>
          <w:p w14:paraId="58C9F485" w14:textId="77777777" w:rsidR="007561A4" w:rsidRPr="00F116BE" w:rsidRDefault="007561A4" w:rsidP="00032B91">
            <w:pPr>
              <w:autoSpaceDE w:val="0"/>
              <w:autoSpaceDN w:val="0"/>
              <w:adjustRightInd w:val="0"/>
              <w:jc w:val="center"/>
            </w:pPr>
          </w:p>
        </w:tc>
        <w:tc>
          <w:tcPr>
            <w:tcW w:w="367" w:type="pct"/>
            <w:gridSpan w:val="2"/>
            <w:tcBorders>
              <w:top w:val="double" w:sz="4" w:space="0" w:color="auto"/>
              <w:left w:val="nil"/>
              <w:bottom w:val="nil"/>
              <w:right w:val="nil"/>
            </w:tcBorders>
          </w:tcPr>
          <w:p w14:paraId="56B66E1A" w14:textId="77777777" w:rsidR="007561A4" w:rsidRPr="00F116BE" w:rsidRDefault="007561A4" w:rsidP="00032B91">
            <w:pPr>
              <w:autoSpaceDE w:val="0"/>
              <w:autoSpaceDN w:val="0"/>
              <w:adjustRightInd w:val="0"/>
              <w:jc w:val="center"/>
            </w:pPr>
          </w:p>
        </w:tc>
        <w:tc>
          <w:tcPr>
            <w:tcW w:w="444" w:type="pct"/>
            <w:tcBorders>
              <w:top w:val="double" w:sz="4" w:space="0" w:color="auto"/>
              <w:left w:val="nil"/>
              <w:bottom w:val="nil"/>
              <w:right w:val="nil"/>
            </w:tcBorders>
          </w:tcPr>
          <w:p w14:paraId="2FAAC8D8" w14:textId="77777777" w:rsidR="007561A4" w:rsidRPr="00F116BE" w:rsidRDefault="007561A4" w:rsidP="00032B91">
            <w:pPr>
              <w:autoSpaceDE w:val="0"/>
              <w:autoSpaceDN w:val="0"/>
              <w:adjustRightInd w:val="0"/>
              <w:jc w:val="center"/>
            </w:pPr>
          </w:p>
        </w:tc>
        <w:tc>
          <w:tcPr>
            <w:tcW w:w="333" w:type="pct"/>
            <w:tcBorders>
              <w:top w:val="double" w:sz="4" w:space="0" w:color="auto"/>
              <w:left w:val="nil"/>
              <w:bottom w:val="nil"/>
              <w:right w:val="nil"/>
            </w:tcBorders>
          </w:tcPr>
          <w:p w14:paraId="45E7C170" w14:textId="77777777" w:rsidR="007561A4" w:rsidRPr="00F116BE" w:rsidRDefault="007561A4" w:rsidP="00032B91">
            <w:pPr>
              <w:autoSpaceDE w:val="0"/>
              <w:autoSpaceDN w:val="0"/>
              <w:adjustRightInd w:val="0"/>
              <w:jc w:val="center"/>
            </w:pPr>
          </w:p>
        </w:tc>
        <w:tc>
          <w:tcPr>
            <w:tcW w:w="369" w:type="pct"/>
            <w:tcBorders>
              <w:top w:val="double" w:sz="4" w:space="0" w:color="auto"/>
              <w:left w:val="nil"/>
              <w:bottom w:val="nil"/>
              <w:right w:val="nil"/>
            </w:tcBorders>
          </w:tcPr>
          <w:p w14:paraId="66F4BDA7" w14:textId="77777777" w:rsidR="007561A4" w:rsidRPr="00F116BE" w:rsidRDefault="007561A4" w:rsidP="00032B91">
            <w:pPr>
              <w:autoSpaceDE w:val="0"/>
              <w:autoSpaceDN w:val="0"/>
              <w:adjustRightInd w:val="0"/>
              <w:jc w:val="center"/>
            </w:pPr>
          </w:p>
        </w:tc>
        <w:tc>
          <w:tcPr>
            <w:tcW w:w="388" w:type="pct"/>
            <w:tcBorders>
              <w:top w:val="double" w:sz="4" w:space="0" w:color="auto"/>
              <w:left w:val="nil"/>
              <w:bottom w:val="nil"/>
              <w:right w:val="nil"/>
            </w:tcBorders>
          </w:tcPr>
          <w:p w14:paraId="561C92F2" w14:textId="77777777" w:rsidR="007561A4" w:rsidRPr="00F116BE" w:rsidRDefault="007561A4" w:rsidP="00032B91">
            <w:pPr>
              <w:autoSpaceDE w:val="0"/>
              <w:autoSpaceDN w:val="0"/>
              <w:adjustRightInd w:val="0"/>
              <w:jc w:val="center"/>
            </w:pPr>
          </w:p>
        </w:tc>
        <w:tc>
          <w:tcPr>
            <w:tcW w:w="366" w:type="pct"/>
            <w:tcBorders>
              <w:top w:val="double" w:sz="4" w:space="0" w:color="auto"/>
              <w:left w:val="nil"/>
              <w:bottom w:val="nil"/>
              <w:right w:val="nil"/>
            </w:tcBorders>
          </w:tcPr>
          <w:p w14:paraId="213E419B" w14:textId="77777777" w:rsidR="007561A4" w:rsidRPr="00F116BE" w:rsidRDefault="007561A4" w:rsidP="00032B91">
            <w:pPr>
              <w:autoSpaceDE w:val="0"/>
              <w:autoSpaceDN w:val="0"/>
              <w:adjustRightInd w:val="0"/>
              <w:jc w:val="center"/>
            </w:pPr>
          </w:p>
        </w:tc>
        <w:tc>
          <w:tcPr>
            <w:tcW w:w="369" w:type="pct"/>
            <w:tcBorders>
              <w:top w:val="double" w:sz="4" w:space="0" w:color="auto"/>
              <w:left w:val="nil"/>
              <w:bottom w:val="nil"/>
              <w:right w:val="nil"/>
            </w:tcBorders>
          </w:tcPr>
          <w:p w14:paraId="6C679C2A" w14:textId="77777777" w:rsidR="007561A4" w:rsidRPr="00F116BE" w:rsidRDefault="007561A4" w:rsidP="00032B91">
            <w:pPr>
              <w:autoSpaceDE w:val="0"/>
              <w:autoSpaceDN w:val="0"/>
              <w:adjustRightInd w:val="0"/>
              <w:jc w:val="center"/>
            </w:pPr>
          </w:p>
        </w:tc>
        <w:tc>
          <w:tcPr>
            <w:tcW w:w="370" w:type="pct"/>
            <w:tcBorders>
              <w:top w:val="double" w:sz="4" w:space="0" w:color="auto"/>
              <w:left w:val="nil"/>
              <w:bottom w:val="nil"/>
              <w:right w:val="nil"/>
            </w:tcBorders>
          </w:tcPr>
          <w:p w14:paraId="5DDEF4B0" w14:textId="77777777" w:rsidR="007561A4" w:rsidRPr="00F116BE" w:rsidRDefault="007561A4" w:rsidP="00032B91">
            <w:pPr>
              <w:autoSpaceDE w:val="0"/>
              <w:autoSpaceDN w:val="0"/>
              <w:adjustRightInd w:val="0"/>
              <w:jc w:val="center"/>
            </w:pPr>
          </w:p>
        </w:tc>
        <w:tc>
          <w:tcPr>
            <w:tcW w:w="314" w:type="pct"/>
            <w:tcBorders>
              <w:top w:val="double" w:sz="4" w:space="0" w:color="auto"/>
              <w:left w:val="nil"/>
              <w:bottom w:val="nil"/>
              <w:right w:val="nil"/>
            </w:tcBorders>
          </w:tcPr>
          <w:p w14:paraId="4D5DE079" w14:textId="77777777" w:rsidR="007561A4" w:rsidRPr="00F116BE" w:rsidRDefault="007561A4" w:rsidP="00032B91">
            <w:pPr>
              <w:autoSpaceDE w:val="0"/>
              <w:autoSpaceDN w:val="0"/>
              <w:adjustRightInd w:val="0"/>
              <w:jc w:val="center"/>
            </w:pPr>
          </w:p>
        </w:tc>
      </w:tr>
      <w:tr w:rsidR="007561A4" w:rsidRPr="00F116BE" w14:paraId="283E9CA6" w14:textId="77777777" w:rsidTr="00A70FBA">
        <w:tc>
          <w:tcPr>
            <w:tcW w:w="505" w:type="pct"/>
            <w:tcBorders>
              <w:top w:val="nil"/>
              <w:left w:val="nil"/>
              <w:bottom w:val="single" w:sz="4" w:space="0" w:color="auto"/>
              <w:right w:val="nil"/>
            </w:tcBorders>
          </w:tcPr>
          <w:p w14:paraId="3DA37D2F" w14:textId="77777777" w:rsidR="007561A4" w:rsidRPr="00F116BE" w:rsidRDefault="007561A4" w:rsidP="00032B91">
            <w:pPr>
              <w:autoSpaceDE w:val="0"/>
              <w:autoSpaceDN w:val="0"/>
              <w:adjustRightInd w:val="0"/>
              <w:jc w:val="both"/>
              <w:rPr>
                <w:vertAlign w:val="subscript"/>
              </w:rPr>
            </w:pPr>
            <w:proofErr w:type="spellStart"/>
            <w:r w:rsidRPr="00F116BE">
              <w:t>EMV</w:t>
            </w:r>
            <w:r w:rsidRPr="00F116BE">
              <w:rPr>
                <w:vertAlign w:val="subscript"/>
              </w:rPr>
              <w:t>t</w:t>
            </w:r>
            <w:proofErr w:type="spellEnd"/>
          </w:p>
        </w:tc>
        <w:tc>
          <w:tcPr>
            <w:tcW w:w="398" w:type="pct"/>
            <w:tcBorders>
              <w:top w:val="nil"/>
              <w:left w:val="nil"/>
              <w:bottom w:val="single" w:sz="4" w:space="0" w:color="auto"/>
              <w:right w:val="nil"/>
            </w:tcBorders>
          </w:tcPr>
          <w:p w14:paraId="44064FC9" w14:textId="77777777" w:rsidR="007561A4" w:rsidRPr="00F116BE" w:rsidRDefault="007561A4" w:rsidP="00032B91">
            <w:pPr>
              <w:autoSpaceDE w:val="0"/>
              <w:autoSpaceDN w:val="0"/>
              <w:adjustRightInd w:val="0"/>
              <w:jc w:val="center"/>
            </w:pPr>
            <w:r w:rsidRPr="00F116BE">
              <w:t>0.</w:t>
            </w:r>
            <w:r>
              <w:t>76</w:t>
            </w:r>
          </w:p>
          <w:p w14:paraId="412FB872" w14:textId="77777777" w:rsidR="007561A4" w:rsidRPr="00F116BE" w:rsidRDefault="007561A4" w:rsidP="00032B91">
            <w:pPr>
              <w:autoSpaceDE w:val="0"/>
              <w:autoSpaceDN w:val="0"/>
              <w:adjustRightInd w:val="0"/>
              <w:jc w:val="center"/>
            </w:pPr>
            <w:r w:rsidRPr="00F116BE">
              <w:t>(0.06)</w:t>
            </w:r>
          </w:p>
        </w:tc>
        <w:tc>
          <w:tcPr>
            <w:tcW w:w="367" w:type="pct"/>
            <w:tcBorders>
              <w:top w:val="nil"/>
              <w:left w:val="nil"/>
              <w:bottom w:val="single" w:sz="4" w:space="0" w:color="auto"/>
              <w:right w:val="nil"/>
            </w:tcBorders>
          </w:tcPr>
          <w:p w14:paraId="5EC3D2DE" w14:textId="77777777" w:rsidR="007561A4" w:rsidRPr="00F116BE" w:rsidRDefault="007561A4" w:rsidP="00032B91">
            <w:pPr>
              <w:autoSpaceDE w:val="0"/>
              <w:autoSpaceDN w:val="0"/>
              <w:adjustRightInd w:val="0"/>
              <w:jc w:val="center"/>
            </w:pPr>
            <w:r w:rsidRPr="00F116BE">
              <w:t>0.76</w:t>
            </w:r>
          </w:p>
          <w:p w14:paraId="197D663E" w14:textId="77777777" w:rsidR="007561A4" w:rsidRPr="00F116BE" w:rsidRDefault="007561A4" w:rsidP="00032B91">
            <w:pPr>
              <w:autoSpaceDE w:val="0"/>
              <w:autoSpaceDN w:val="0"/>
              <w:adjustRightInd w:val="0"/>
              <w:jc w:val="center"/>
            </w:pPr>
            <w:r w:rsidRPr="00F116BE">
              <w:t>(0.06)</w:t>
            </w:r>
          </w:p>
        </w:tc>
        <w:tc>
          <w:tcPr>
            <w:tcW w:w="410" w:type="pct"/>
            <w:tcBorders>
              <w:top w:val="nil"/>
              <w:left w:val="nil"/>
              <w:bottom w:val="single" w:sz="4" w:space="0" w:color="auto"/>
              <w:right w:val="nil"/>
            </w:tcBorders>
          </w:tcPr>
          <w:p w14:paraId="7AC818F5" w14:textId="77777777" w:rsidR="007561A4" w:rsidRPr="00F116BE" w:rsidRDefault="007561A4" w:rsidP="00032B91">
            <w:pPr>
              <w:autoSpaceDE w:val="0"/>
              <w:autoSpaceDN w:val="0"/>
              <w:adjustRightInd w:val="0"/>
              <w:jc w:val="center"/>
            </w:pPr>
            <w:r w:rsidRPr="00F116BE">
              <w:t>0.74</w:t>
            </w:r>
          </w:p>
          <w:p w14:paraId="6972774C" w14:textId="77777777" w:rsidR="007561A4" w:rsidRPr="00F116BE" w:rsidRDefault="007561A4" w:rsidP="00032B91">
            <w:pPr>
              <w:autoSpaceDE w:val="0"/>
              <w:autoSpaceDN w:val="0"/>
              <w:adjustRightInd w:val="0"/>
              <w:jc w:val="center"/>
            </w:pPr>
            <w:r w:rsidRPr="00F116BE">
              <w:t>(0.06)</w:t>
            </w:r>
          </w:p>
        </w:tc>
        <w:tc>
          <w:tcPr>
            <w:tcW w:w="367" w:type="pct"/>
            <w:gridSpan w:val="2"/>
            <w:tcBorders>
              <w:top w:val="nil"/>
              <w:left w:val="nil"/>
              <w:bottom w:val="single" w:sz="4" w:space="0" w:color="auto"/>
              <w:right w:val="nil"/>
            </w:tcBorders>
          </w:tcPr>
          <w:p w14:paraId="67578808" w14:textId="77777777" w:rsidR="007561A4" w:rsidRPr="00F116BE" w:rsidRDefault="007561A4" w:rsidP="00032B91">
            <w:pPr>
              <w:autoSpaceDE w:val="0"/>
              <w:autoSpaceDN w:val="0"/>
              <w:adjustRightInd w:val="0"/>
              <w:jc w:val="center"/>
            </w:pPr>
            <w:r w:rsidRPr="00F116BE">
              <w:t>0.7</w:t>
            </w:r>
            <w:r>
              <w:t>5</w:t>
            </w:r>
          </w:p>
          <w:p w14:paraId="240A8A8D" w14:textId="77777777" w:rsidR="007561A4" w:rsidRPr="00F116BE" w:rsidRDefault="007561A4" w:rsidP="00032B91">
            <w:pPr>
              <w:autoSpaceDE w:val="0"/>
              <w:autoSpaceDN w:val="0"/>
              <w:adjustRightInd w:val="0"/>
              <w:jc w:val="center"/>
            </w:pPr>
            <w:r w:rsidRPr="00F116BE">
              <w:t>(0.06)</w:t>
            </w:r>
          </w:p>
        </w:tc>
        <w:tc>
          <w:tcPr>
            <w:tcW w:w="444" w:type="pct"/>
            <w:tcBorders>
              <w:top w:val="nil"/>
              <w:left w:val="nil"/>
              <w:bottom w:val="single" w:sz="4" w:space="0" w:color="auto"/>
              <w:right w:val="nil"/>
            </w:tcBorders>
          </w:tcPr>
          <w:p w14:paraId="43720F6D" w14:textId="77777777" w:rsidR="007561A4" w:rsidRPr="00F116BE" w:rsidRDefault="007561A4" w:rsidP="00032B91">
            <w:pPr>
              <w:autoSpaceDE w:val="0"/>
              <w:autoSpaceDN w:val="0"/>
              <w:adjustRightInd w:val="0"/>
              <w:jc w:val="center"/>
            </w:pPr>
            <w:r w:rsidRPr="00F116BE">
              <w:t>0.</w:t>
            </w:r>
            <w:r>
              <w:t>74</w:t>
            </w:r>
          </w:p>
          <w:p w14:paraId="09C69806" w14:textId="77777777" w:rsidR="007561A4" w:rsidRPr="00F116BE" w:rsidRDefault="007561A4" w:rsidP="00032B91">
            <w:pPr>
              <w:autoSpaceDE w:val="0"/>
              <w:autoSpaceDN w:val="0"/>
              <w:adjustRightInd w:val="0"/>
              <w:jc w:val="center"/>
            </w:pPr>
            <w:r w:rsidRPr="00F116BE">
              <w:t>(0.06)</w:t>
            </w:r>
          </w:p>
        </w:tc>
        <w:tc>
          <w:tcPr>
            <w:tcW w:w="333" w:type="pct"/>
            <w:tcBorders>
              <w:top w:val="nil"/>
              <w:left w:val="nil"/>
              <w:bottom w:val="single" w:sz="4" w:space="0" w:color="auto"/>
              <w:right w:val="nil"/>
            </w:tcBorders>
          </w:tcPr>
          <w:p w14:paraId="22C2E656" w14:textId="77777777" w:rsidR="007561A4" w:rsidRPr="00F116BE" w:rsidRDefault="007561A4" w:rsidP="00032B91">
            <w:pPr>
              <w:autoSpaceDE w:val="0"/>
              <w:autoSpaceDN w:val="0"/>
              <w:adjustRightInd w:val="0"/>
              <w:jc w:val="center"/>
            </w:pPr>
            <w:r w:rsidRPr="00F116BE">
              <w:t>0.75</w:t>
            </w:r>
          </w:p>
          <w:p w14:paraId="2A0B4803" w14:textId="77777777" w:rsidR="007561A4" w:rsidRPr="00F116BE" w:rsidRDefault="007561A4" w:rsidP="00032B91">
            <w:pPr>
              <w:autoSpaceDE w:val="0"/>
              <w:autoSpaceDN w:val="0"/>
              <w:adjustRightInd w:val="0"/>
              <w:jc w:val="center"/>
            </w:pPr>
            <w:r w:rsidRPr="00F116BE">
              <w:t>(0.06)</w:t>
            </w:r>
          </w:p>
        </w:tc>
        <w:tc>
          <w:tcPr>
            <w:tcW w:w="369" w:type="pct"/>
            <w:tcBorders>
              <w:top w:val="nil"/>
              <w:left w:val="nil"/>
              <w:bottom w:val="single" w:sz="4" w:space="0" w:color="auto"/>
              <w:right w:val="nil"/>
            </w:tcBorders>
          </w:tcPr>
          <w:p w14:paraId="0DD65B9B" w14:textId="77777777" w:rsidR="007561A4" w:rsidRPr="00F116BE" w:rsidRDefault="007561A4" w:rsidP="00032B91">
            <w:pPr>
              <w:autoSpaceDE w:val="0"/>
              <w:autoSpaceDN w:val="0"/>
              <w:adjustRightInd w:val="0"/>
              <w:jc w:val="center"/>
            </w:pPr>
            <w:r w:rsidRPr="00F116BE">
              <w:t>0.</w:t>
            </w:r>
            <w:r>
              <w:t>75</w:t>
            </w:r>
          </w:p>
          <w:p w14:paraId="73850BD8" w14:textId="77777777" w:rsidR="007561A4" w:rsidRPr="00F116BE" w:rsidRDefault="007561A4" w:rsidP="00032B91">
            <w:pPr>
              <w:autoSpaceDE w:val="0"/>
              <w:autoSpaceDN w:val="0"/>
              <w:adjustRightInd w:val="0"/>
              <w:jc w:val="center"/>
            </w:pPr>
            <w:r w:rsidRPr="00F116BE">
              <w:t>(0.06)</w:t>
            </w:r>
          </w:p>
        </w:tc>
        <w:tc>
          <w:tcPr>
            <w:tcW w:w="388" w:type="pct"/>
            <w:tcBorders>
              <w:top w:val="nil"/>
              <w:left w:val="nil"/>
              <w:bottom w:val="single" w:sz="4" w:space="0" w:color="auto"/>
              <w:right w:val="nil"/>
            </w:tcBorders>
          </w:tcPr>
          <w:p w14:paraId="522442B2" w14:textId="77777777" w:rsidR="007561A4" w:rsidRPr="00F116BE" w:rsidRDefault="007561A4" w:rsidP="00032B91">
            <w:pPr>
              <w:autoSpaceDE w:val="0"/>
              <w:autoSpaceDN w:val="0"/>
              <w:adjustRightInd w:val="0"/>
              <w:jc w:val="center"/>
            </w:pPr>
            <w:r w:rsidRPr="00F116BE">
              <w:t>0.77</w:t>
            </w:r>
          </w:p>
          <w:p w14:paraId="541F8FCA" w14:textId="77777777" w:rsidR="007561A4" w:rsidRPr="00F116BE" w:rsidRDefault="007561A4" w:rsidP="00032B91">
            <w:pPr>
              <w:autoSpaceDE w:val="0"/>
              <w:autoSpaceDN w:val="0"/>
              <w:adjustRightInd w:val="0"/>
              <w:jc w:val="center"/>
            </w:pPr>
            <w:r w:rsidRPr="00F116BE">
              <w:t>(0.06)</w:t>
            </w:r>
          </w:p>
        </w:tc>
        <w:tc>
          <w:tcPr>
            <w:tcW w:w="366" w:type="pct"/>
            <w:tcBorders>
              <w:top w:val="nil"/>
              <w:left w:val="nil"/>
              <w:bottom w:val="single" w:sz="4" w:space="0" w:color="auto"/>
              <w:right w:val="nil"/>
            </w:tcBorders>
          </w:tcPr>
          <w:p w14:paraId="59DC0C27" w14:textId="77777777" w:rsidR="007561A4" w:rsidRPr="00F116BE" w:rsidRDefault="007561A4" w:rsidP="00032B91">
            <w:pPr>
              <w:autoSpaceDE w:val="0"/>
              <w:autoSpaceDN w:val="0"/>
              <w:adjustRightInd w:val="0"/>
              <w:jc w:val="center"/>
            </w:pPr>
            <w:r w:rsidRPr="00F116BE">
              <w:t>0.78</w:t>
            </w:r>
          </w:p>
          <w:p w14:paraId="69CB10DA" w14:textId="77777777" w:rsidR="007561A4" w:rsidRPr="00F116BE" w:rsidRDefault="007561A4" w:rsidP="00032B91">
            <w:pPr>
              <w:autoSpaceDE w:val="0"/>
              <w:autoSpaceDN w:val="0"/>
              <w:adjustRightInd w:val="0"/>
              <w:jc w:val="center"/>
            </w:pPr>
            <w:r w:rsidRPr="00F116BE">
              <w:t>(0.06)</w:t>
            </w:r>
          </w:p>
        </w:tc>
        <w:tc>
          <w:tcPr>
            <w:tcW w:w="369" w:type="pct"/>
            <w:tcBorders>
              <w:top w:val="nil"/>
              <w:left w:val="nil"/>
              <w:bottom w:val="single" w:sz="4" w:space="0" w:color="auto"/>
              <w:right w:val="nil"/>
            </w:tcBorders>
          </w:tcPr>
          <w:p w14:paraId="2E526F7C" w14:textId="77777777" w:rsidR="007561A4" w:rsidRPr="00F116BE" w:rsidRDefault="007561A4" w:rsidP="00032B91">
            <w:pPr>
              <w:autoSpaceDE w:val="0"/>
              <w:autoSpaceDN w:val="0"/>
              <w:adjustRightInd w:val="0"/>
              <w:jc w:val="center"/>
            </w:pPr>
            <w:r w:rsidRPr="00F116BE">
              <w:t>0.</w:t>
            </w:r>
            <w:r>
              <w:t>78</w:t>
            </w:r>
          </w:p>
          <w:p w14:paraId="2B8BBE4A" w14:textId="77777777" w:rsidR="007561A4" w:rsidRPr="00F116BE" w:rsidRDefault="007561A4" w:rsidP="00032B91">
            <w:pPr>
              <w:autoSpaceDE w:val="0"/>
              <w:autoSpaceDN w:val="0"/>
              <w:adjustRightInd w:val="0"/>
              <w:jc w:val="center"/>
            </w:pPr>
            <w:r w:rsidRPr="00F116BE">
              <w:t>(0.06)</w:t>
            </w:r>
          </w:p>
        </w:tc>
        <w:tc>
          <w:tcPr>
            <w:tcW w:w="370" w:type="pct"/>
            <w:tcBorders>
              <w:top w:val="nil"/>
              <w:left w:val="nil"/>
              <w:bottom w:val="single" w:sz="4" w:space="0" w:color="auto"/>
              <w:right w:val="nil"/>
            </w:tcBorders>
          </w:tcPr>
          <w:p w14:paraId="2B0FF959" w14:textId="77777777" w:rsidR="007561A4" w:rsidRPr="00F116BE" w:rsidRDefault="007561A4" w:rsidP="00032B91">
            <w:pPr>
              <w:autoSpaceDE w:val="0"/>
              <w:autoSpaceDN w:val="0"/>
              <w:adjustRightInd w:val="0"/>
              <w:jc w:val="center"/>
            </w:pPr>
            <w:r w:rsidRPr="00F116BE">
              <w:t>0.75</w:t>
            </w:r>
          </w:p>
          <w:p w14:paraId="1EDD845B" w14:textId="77777777" w:rsidR="007561A4" w:rsidRPr="00F116BE" w:rsidRDefault="007561A4" w:rsidP="00032B91">
            <w:pPr>
              <w:autoSpaceDE w:val="0"/>
              <w:autoSpaceDN w:val="0"/>
              <w:adjustRightInd w:val="0"/>
              <w:jc w:val="center"/>
            </w:pPr>
            <w:r w:rsidRPr="00F116BE">
              <w:t>(0.06)</w:t>
            </w:r>
          </w:p>
        </w:tc>
        <w:tc>
          <w:tcPr>
            <w:tcW w:w="314" w:type="pct"/>
            <w:tcBorders>
              <w:top w:val="nil"/>
              <w:left w:val="nil"/>
              <w:bottom w:val="single" w:sz="4" w:space="0" w:color="auto"/>
              <w:right w:val="nil"/>
            </w:tcBorders>
          </w:tcPr>
          <w:p w14:paraId="332B534D" w14:textId="77777777" w:rsidR="007561A4" w:rsidRPr="00F116BE" w:rsidRDefault="007561A4" w:rsidP="00032B91">
            <w:pPr>
              <w:autoSpaceDE w:val="0"/>
              <w:autoSpaceDN w:val="0"/>
              <w:adjustRightInd w:val="0"/>
              <w:jc w:val="center"/>
            </w:pPr>
            <w:r w:rsidRPr="00F116BE">
              <w:t>0.76</w:t>
            </w:r>
          </w:p>
          <w:p w14:paraId="20278C50" w14:textId="77777777" w:rsidR="007561A4" w:rsidRPr="00F116BE" w:rsidRDefault="007561A4" w:rsidP="00032B91">
            <w:pPr>
              <w:autoSpaceDE w:val="0"/>
              <w:autoSpaceDN w:val="0"/>
              <w:adjustRightInd w:val="0"/>
              <w:jc w:val="center"/>
            </w:pPr>
            <w:r w:rsidRPr="00F116BE">
              <w:t>(0.06)</w:t>
            </w:r>
          </w:p>
        </w:tc>
      </w:tr>
      <w:tr w:rsidR="007561A4" w:rsidRPr="00F116BE" w14:paraId="13C5DBBE" w14:textId="77777777" w:rsidTr="00A70FBA">
        <w:tc>
          <w:tcPr>
            <w:tcW w:w="505" w:type="pct"/>
            <w:tcBorders>
              <w:left w:val="nil"/>
              <w:bottom w:val="double" w:sz="4" w:space="0" w:color="auto"/>
              <w:right w:val="nil"/>
            </w:tcBorders>
          </w:tcPr>
          <w:p w14:paraId="050C6001" w14:textId="77777777" w:rsidR="007561A4" w:rsidRPr="00F116BE" w:rsidRDefault="007561A4" w:rsidP="00032B91">
            <w:pPr>
              <w:autoSpaceDE w:val="0"/>
              <w:autoSpaceDN w:val="0"/>
              <w:adjustRightInd w:val="0"/>
              <w:jc w:val="both"/>
              <w:rPr>
                <w:vertAlign w:val="superscript"/>
              </w:rPr>
            </w:pPr>
            <w:r w:rsidRPr="00F116BE">
              <w:t>R</w:t>
            </w:r>
            <w:r w:rsidRPr="00F116BE">
              <w:rPr>
                <w:vertAlign w:val="superscript"/>
              </w:rPr>
              <w:t>2</w:t>
            </w:r>
          </w:p>
        </w:tc>
        <w:tc>
          <w:tcPr>
            <w:tcW w:w="398" w:type="pct"/>
            <w:tcBorders>
              <w:left w:val="nil"/>
              <w:bottom w:val="double" w:sz="4" w:space="0" w:color="auto"/>
              <w:right w:val="nil"/>
            </w:tcBorders>
          </w:tcPr>
          <w:p w14:paraId="46CBB5B8" w14:textId="77777777" w:rsidR="007561A4" w:rsidRPr="00F116BE" w:rsidRDefault="007561A4" w:rsidP="00032B91">
            <w:pPr>
              <w:autoSpaceDE w:val="0"/>
              <w:autoSpaceDN w:val="0"/>
              <w:adjustRightInd w:val="0"/>
              <w:jc w:val="center"/>
            </w:pPr>
            <w:r w:rsidRPr="00F116BE">
              <w:t>0.61</w:t>
            </w:r>
            <w:r>
              <w:t>1</w:t>
            </w:r>
          </w:p>
        </w:tc>
        <w:tc>
          <w:tcPr>
            <w:tcW w:w="367" w:type="pct"/>
            <w:tcBorders>
              <w:left w:val="nil"/>
              <w:bottom w:val="double" w:sz="4" w:space="0" w:color="auto"/>
              <w:right w:val="nil"/>
            </w:tcBorders>
          </w:tcPr>
          <w:p w14:paraId="100725E5" w14:textId="77777777" w:rsidR="007561A4" w:rsidRPr="00F116BE" w:rsidRDefault="007561A4" w:rsidP="00032B91">
            <w:pPr>
              <w:autoSpaceDE w:val="0"/>
              <w:autoSpaceDN w:val="0"/>
              <w:adjustRightInd w:val="0"/>
              <w:jc w:val="center"/>
            </w:pPr>
            <w:r w:rsidRPr="00F116BE">
              <w:t>0.60</w:t>
            </w:r>
            <w:r>
              <w:t>7</w:t>
            </w:r>
          </w:p>
        </w:tc>
        <w:tc>
          <w:tcPr>
            <w:tcW w:w="410" w:type="pct"/>
            <w:tcBorders>
              <w:left w:val="nil"/>
              <w:bottom w:val="double" w:sz="4" w:space="0" w:color="auto"/>
              <w:right w:val="nil"/>
            </w:tcBorders>
          </w:tcPr>
          <w:p w14:paraId="7D4571B1" w14:textId="77777777" w:rsidR="007561A4" w:rsidRPr="00F116BE" w:rsidRDefault="007561A4" w:rsidP="00032B91">
            <w:pPr>
              <w:autoSpaceDE w:val="0"/>
              <w:autoSpaceDN w:val="0"/>
              <w:adjustRightInd w:val="0"/>
              <w:jc w:val="center"/>
            </w:pPr>
            <w:r>
              <w:t>0.604</w:t>
            </w:r>
          </w:p>
        </w:tc>
        <w:tc>
          <w:tcPr>
            <w:tcW w:w="367" w:type="pct"/>
            <w:gridSpan w:val="2"/>
            <w:tcBorders>
              <w:left w:val="nil"/>
              <w:bottom w:val="double" w:sz="4" w:space="0" w:color="auto"/>
              <w:right w:val="nil"/>
            </w:tcBorders>
          </w:tcPr>
          <w:p w14:paraId="6C2799A5" w14:textId="77777777" w:rsidR="007561A4" w:rsidRPr="00F116BE" w:rsidRDefault="007561A4" w:rsidP="00032B91">
            <w:pPr>
              <w:autoSpaceDE w:val="0"/>
              <w:autoSpaceDN w:val="0"/>
              <w:adjustRightInd w:val="0"/>
              <w:jc w:val="center"/>
            </w:pPr>
            <w:r w:rsidRPr="00F116BE">
              <w:t>0.61</w:t>
            </w:r>
            <w:r>
              <w:t>5</w:t>
            </w:r>
          </w:p>
        </w:tc>
        <w:tc>
          <w:tcPr>
            <w:tcW w:w="444" w:type="pct"/>
            <w:tcBorders>
              <w:left w:val="nil"/>
              <w:bottom w:val="double" w:sz="4" w:space="0" w:color="auto"/>
              <w:right w:val="nil"/>
            </w:tcBorders>
          </w:tcPr>
          <w:p w14:paraId="463E4301" w14:textId="77777777" w:rsidR="007561A4" w:rsidRPr="00F116BE" w:rsidRDefault="007561A4" w:rsidP="00032B91">
            <w:pPr>
              <w:autoSpaceDE w:val="0"/>
              <w:autoSpaceDN w:val="0"/>
              <w:adjustRightInd w:val="0"/>
              <w:jc w:val="center"/>
            </w:pPr>
            <w:r>
              <w:t>0.611</w:t>
            </w:r>
          </w:p>
        </w:tc>
        <w:tc>
          <w:tcPr>
            <w:tcW w:w="333" w:type="pct"/>
            <w:tcBorders>
              <w:left w:val="nil"/>
              <w:bottom w:val="double" w:sz="4" w:space="0" w:color="auto"/>
              <w:right w:val="nil"/>
            </w:tcBorders>
          </w:tcPr>
          <w:p w14:paraId="5D9D6523" w14:textId="77777777" w:rsidR="007561A4" w:rsidRPr="00F116BE" w:rsidRDefault="007561A4" w:rsidP="00032B91">
            <w:pPr>
              <w:autoSpaceDE w:val="0"/>
              <w:autoSpaceDN w:val="0"/>
              <w:adjustRightInd w:val="0"/>
              <w:jc w:val="center"/>
            </w:pPr>
            <w:r>
              <w:t>0.606</w:t>
            </w:r>
          </w:p>
        </w:tc>
        <w:tc>
          <w:tcPr>
            <w:tcW w:w="369" w:type="pct"/>
            <w:tcBorders>
              <w:left w:val="nil"/>
              <w:bottom w:val="double" w:sz="4" w:space="0" w:color="auto"/>
              <w:right w:val="nil"/>
            </w:tcBorders>
          </w:tcPr>
          <w:p w14:paraId="7A3DDF81" w14:textId="77777777" w:rsidR="007561A4" w:rsidRPr="00F116BE" w:rsidRDefault="007561A4" w:rsidP="00032B91">
            <w:pPr>
              <w:autoSpaceDE w:val="0"/>
              <w:autoSpaceDN w:val="0"/>
              <w:adjustRightInd w:val="0"/>
              <w:jc w:val="center"/>
            </w:pPr>
            <w:r>
              <w:t>0.609</w:t>
            </w:r>
          </w:p>
        </w:tc>
        <w:tc>
          <w:tcPr>
            <w:tcW w:w="388" w:type="pct"/>
            <w:tcBorders>
              <w:left w:val="nil"/>
              <w:bottom w:val="double" w:sz="4" w:space="0" w:color="auto"/>
              <w:right w:val="nil"/>
            </w:tcBorders>
          </w:tcPr>
          <w:p w14:paraId="32B4585E" w14:textId="77777777" w:rsidR="007561A4" w:rsidRPr="00F116BE" w:rsidRDefault="007561A4" w:rsidP="00032B91">
            <w:pPr>
              <w:autoSpaceDE w:val="0"/>
              <w:autoSpaceDN w:val="0"/>
              <w:adjustRightInd w:val="0"/>
              <w:jc w:val="center"/>
            </w:pPr>
            <w:r w:rsidRPr="00F116BE">
              <w:t>0.60</w:t>
            </w:r>
            <w:r>
              <w:t>4</w:t>
            </w:r>
          </w:p>
        </w:tc>
        <w:tc>
          <w:tcPr>
            <w:tcW w:w="366" w:type="pct"/>
            <w:tcBorders>
              <w:left w:val="nil"/>
              <w:bottom w:val="double" w:sz="4" w:space="0" w:color="auto"/>
              <w:right w:val="nil"/>
            </w:tcBorders>
          </w:tcPr>
          <w:p w14:paraId="4BAED568" w14:textId="77777777" w:rsidR="007561A4" w:rsidRPr="00F116BE" w:rsidRDefault="007561A4" w:rsidP="00032B91">
            <w:pPr>
              <w:autoSpaceDE w:val="0"/>
              <w:autoSpaceDN w:val="0"/>
              <w:adjustRightInd w:val="0"/>
              <w:jc w:val="center"/>
            </w:pPr>
            <w:r>
              <w:t>0.613</w:t>
            </w:r>
          </w:p>
        </w:tc>
        <w:tc>
          <w:tcPr>
            <w:tcW w:w="369" w:type="pct"/>
            <w:tcBorders>
              <w:left w:val="nil"/>
              <w:bottom w:val="double" w:sz="4" w:space="0" w:color="auto"/>
              <w:right w:val="nil"/>
            </w:tcBorders>
          </w:tcPr>
          <w:p w14:paraId="0D3DC6A9" w14:textId="77777777" w:rsidR="007561A4" w:rsidRPr="00F116BE" w:rsidRDefault="007561A4" w:rsidP="00032B91">
            <w:pPr>
              <w:autoSpaceDE w:val="0"/>
              <w:autoSpaceDN w:val="0"/>
              <w:adjustRightInd w:val="0"/>
              <w:jc w:val="center"/>
            </w:pPr>
            <w:r>
              <w:t>0.607</w:t>
            </w:r>
          </w:p>
        </w:tc>
        <w:tc>
          <w:tcPr>
            <w:tcW w:w="370" w:type="pct"/>
            <w:tcBorders>
              <w:left w:val="nil"/>
              <w:bottom w:val="double" w:sz="4" w:space="0" w:color="auto"/>
              <w:right w:val="nil"/>
            </w:tcBorders>
          </w:tcPr>
          <w:p w14:paraId="15FAE6A3" w14:textId="77777777" w:rsidR="007561A4" w:rsidRPr="00F116BE" w:rsidRDefault="007561A4" w:rsidP="00032B91">
            <w:pPr>
              <w:autoSpaceDE w:val="0"/>
              <w:autoSpaceDN w:val="0"/>
              <w:adjustRightInd w:val="0"/>
              <w:jc w:val="center"/>
            </w:pPr>
            <w:r>
              <w:t>0.600</w:t>
            </w:r>
          </w:p>
        </w:tc>
        <w:tc>
          <w:tcPr>
            <w:tcW w:w="314" w:type="pct"/>
            <w:tcBorders>
              <w:left w:val="nil"/>
              <w:bottom w:val="double" w:sz="4" w:space="0" w:color="auto"/>
              <w:right w:val="nil"/>
            </w:tcBorders>
          </w:tcPr>
          <w:p w14:paraId="556EB941" w14:textId="77777777" w:rsidR="007561A4" w:rsidRPr="00F116BE" w:rsidRDefault="007561A4" w:rsidP="00032B91">
            <w:pPr>
              <w:autoSpaceDE w:val="0"/>
              <w:autoSpaceDN w:val="0"/>
              <w:adjustRightInd w:val="0"/>
              <w:jc w:val="center"/>
            </w:pPr>
            <w:r w:rsidRPr="00F116BE">
              <w:t>0.6</w:t>
            </w:r>
            <w:r>
              <w:t>08</w:t>
            </w:r>
          </w:p>
        </w:tc>
      </w:tr>
      <w:tr w:rsidR="00032B91" w:rsidRPr="00F116BE" w14:paraId="7A12F166" w14:textId="77777777" w:rsidTr="00032B91">
        <w:tc>
          <w:tcPr>
            <w:tcW w:w="5000" w:type="pct"/>
            <w:gridSpan w:val="14"/>
            <w:tcBorders>
              <w:top w:val="double" w:sz="4" w:space="0" w:color="auto"/>
              <w:left w:val="nil"/>
              <w:bottom w:val="double" w:sz="4" w:space="0" w:color="auto"/>
              <w:right w:val="nil"/>
            </w:tcBorders>
          </w:tcPr>
          <w:p w14:paraId="3A5C1809" w14:textId="260B2694" w:rsidR="00032B91" w:rsidRPr="00F116BE" w:rsidRDefault="00032B91" w:rsidP="003F5DFB">
            <w:pPr>
              <w:autoSpaceDE w:val="0"/>
              <w:autoSpaceDN w:val="0"/>
              <w:adjustRightInd w:val="0"/>
            </w:pPr>
            <w:r w:rsidRPr="007E18DA">
              <w:rPr>
                <w:b/>
              </w:rPr>
              <w:t>Panel B</w:t>
            </w:r>
            <w:r>
              <w:rPr>
                <w:b/>
              </w:rPr>
              <w:t xml:space="preserve">: </w:t>
            </w:r>
            <w:r w:rsidR="003F5DFB">
              <w:rPr>
                <w:b/>
              </w:rPr>
              <w:t>Dropping the indicated newspaper</w:t>
            </w:r>
          </w:p>
        </w:tc>
      </w:tr>
      <w:tr w:rsidR="007561A4" w:rsidRPr="00F116BE" w14:paraId="14B05A4B" w14:textId="77777777" w:rsidTr="00A70FBA">
        <w:tc>
          <w:tcPr>
            <w:tcW w:w="505" w:type="pct"/>
            <w:tcBorders>
              <w:top w:val="double" w:sz="4" w:space="0" w:color="auto"/>
              <w:left w:val="nil"/>
              <w:bottom w:val="nil"/>
              <w:right w:val="nil"/>
            </w:tcBorders>
          </w:tcPr>
          <w:p w14:paraId="43C3D7FB" w14:textId="77777777" w:rsidR="007561A4" w:rsidRPr="007E18DA" w:rsidRDefault="007561A4" w:rsidP="00032B91">
            <w:pPr>
              <w:autoSpaceDE w:val="0"/>
              <w:autoSpaceDN w:val="0"/>
              <w:adjustRightInd w:val="0"/>
              <w:jc w:val="both"/>
              <w:rPr>
                <w:b/>
              </w:rPr>
            </w:pPr>
          </w:p>
        </w:tc>
        <w:tc>
          <w:tcPr>
            <w:tcW w:w="398" w:type="pct"/>
            <w:tcBorders>
              <w:top w:val="double" w:sz="4" w:space="0" w:color="auto"/>
              <w:left w:val="nil"/>
              <w:bottom w:val="nil"/>
              <w:right w:val="nil"/>
            </w:tcBorders>
          </w:tcPr>
          <w:p w14:paraId="4B4190D3" w14:textId="77777777" w:rsidR="007561A4" w:rsidRPr="00F116BE" w:rsidRDefault="007561A4" w:rsidP="00032B91">
            <w:pPr>
              <w:autoSpaceDE w:val="0"/>
              <w:autoSpaceDN w:val="0"/>
              <w:adjustRightInd w:val="0"/>
              <w:jc w:val="center"/>
            </w:pPr>
          </w:p>
        </w:tc>
        <w:tc>
          <w:tcPr>
            <w:tcW w:w="367" w:type="pct"/>
            <w:tcBorders>
              <w:top w:val="double" w:sz="4" w:space="0" w:color="auto"/>
              <w:left w:val="nil"/>
              <w:bottom w:val="nil"/>
              <w:right w:val="nil"/>
            </w:tcBorders>
          </w:tcPr>
          <w:p w14:paraId="2D5DC3EC" w14:textId="77777777" w:rsidR="007561A4" w:rsidRPr="00F116BE" w:rsidRDefault="007561A4" w:rsidP="00032B91">
            <w:pPr>
              <w:autoSpaceDE w:val="0"/>
              <w:autoSpaceDN w:val="0"/>
              <w:adjustRightInd w:val="0"/>
              <w:jc w:val="center"/>
            </w:pPr>
          </w:p>
        </w:tc>
        <w:tc>
          <w:tcPr>
            <w:tcW w:w="410" w:type="pct"/>
            <w:tcBorders>
              <w:top w:val="double" w:sz="4" w:space="0" w:color="auto"/>
              <w:left w:val="nil"/>
              <w:bottom w:val="nil"/>
              <w:right w:val="nil"/>
            </w:tcBorders>
          </w:tcPr>
          <w:p w14:paraId="01320357" w14:textId="77777777" w:rsidR="007561A4" w:rsidRDefault="007561A4" w:rsidP="00032B91">
            <w:pPr>
              <w:autoSpaceDE w:val="0"/>
              <w:autoSpaceDN w:val="0"/>
              <w:adjustRightInd w:val="0"/>
              <w:jc w:val="center"/>
            </w:pPr>
          </w:p>
        </w:tc>
        <w:tc>
          <w:tcPr>
            <w:tcW w:w="367" w:type="pct"/>
            <w:gridSpan w:val="2"/>
            <w:tcBorders>
              <w:top w:val="double" w:sz="4" w:space="0" w:color="auto"/>
              <w:left w:val="nil"/>
              <w:bottom w:val="nil"/>
              <w:right w:val="nil"/>
            </w:tcBorders>
          </w:tcPr>
          <w:p w14:paraId="76B6C278" w14:textId="77777777" w:rsidR="007561A4" w:rsidRPr="00F116BE" w:rsidRDefault="007561A4" w:rsidP="00032B91">
            <w:pPr>
              <w:autoSpaceDE w:val="0"/>
              <w:autoSpaceDN w:val="0"/>
              <w:adjustRightInd w:val="0"/>
              <w:jc w:val="center"/>
            </w:pPr>
          </w:p>
        </w:tc>
        <w:tc>
          <w:tcPr>
            <w:tcW w:w="444" w:type="pct"/>
            <w:tcBorders>
              <w:top w:val="double" w:sz="4" w:space="0" w:color="auto"/>
              <w:left w:val="nil"/>
              <w:bottom w:val="nil"/>
              <w:right w:val="nil"/>
            </w:tcBorders>
          </w:tcPr>
          <w:p w14:paraId="5C4F79B1" w14:textId="77777777" w:rsidR="007561A4" w:rsidRDefault="007561A4" w:rsidP="00032B91">
            <w:pPr>
              <w:autoSpaceDE w:val="0"/>
              <w:autoSpaceDN w:val="0"/>
              <w:adjustRightInd w:val="0"/>
              <w:jc w:val="center"/>
            </w:pPr>
          </w:p>
        </w:tc>
        <w:tc>
          <w:tcPr>
            <w:tcW w:w="333" w:type="pct"/>
            <w:tcBorders>
              <w:top w:val="double" w:sz="4" w:space="0" w:color="auto"/>
              <w:left w:val="nil"/>
              <w:bottom w:val="nil"/>
              <w:right w:val="nil"/>
            </w:tcBorders>
          </w:tcPr>
          <w:p w14:paraId="6FFC69AB" w14:textId="77777777" w:rsidR="007561A4" w:rsidRDefault="007561A4" w:rsidP="00032B91">
            <w:pPr>
              <w:autoSpaceDE w:val="0"/>
              <w:autoSpaceDN w:val="0"/>
              <w:adjustRightInd w:val="0"/>
              <w:jc w:val="center"/>
            </w:pPr>
          </w:p>
        </w:tc>
        <w:tc>
          <w:tcPr>
            <w:tcW w:w="369" w:type="pct"/>
            <w:tcBorders>
              <w:top w:val="double" w:sz="4" w:space="0" w:color="auto"/>
              <w:left w:val="nil"/>
              <w:bottom w:val="nil"/>
              <w:right w:val="nil"/>
            </w:tcBorders>
          </w:tcPr>
          <w:p w14:paraId="416EB451" w14:textId="77777777" w:rsidR="007561A4" w:rsidRDefault="007561A4" w:rsidP="00032B91">
            <w:pPr>
              <w:autoSpaceDE w:val="0"/>
              <w:autoSpaceDN w:val="0"/>
              <w:adjustRightInd w:val="0"/>
              <w:jc w:val="center"/>
            </w:pPr>
          </w:p>
        </w:tc>
        <w:tc>
          <w:tcPr>
            <w:tcW w:w="388" w:type="pct"/>
            <w:tcBorders>
              <w:top w:val="double" w:sz="4" w:space="0" w:color="auto"/>
              <w:left w:val="nil"/>
              <w:bottom w:val="nil"/>
              <w:right w:val="nil"/>
            </w:tcBorders>
          </w:tcPr>
          <w:p w14:paraId="4F08502E" w14:textId="77777777" w:rsidR="007561A4" w:rsidRPr="00F116BE" w:rsidRDefault="007561A4" w:rsidP="00032B91">
            <w:pPr>
              <w:autoSpaceDE w:val="0"/>
              <w:autoSpaceDN w:val="0"/>
              <w:adjustRightInd w:val="0"/>
              <w:jc w:val="center"/>
            </w:pPr>
          </w:p>
        </w:tc>
        <w:tc>
          <w:tcPr>
            <w:tcW w:w="366" w:type="pct"/>
            <w:tcBorders>
              <w:top w:val="double" w:sz="4" w:space="0" w:color="auto"/>
              <w:left w:val="nil"/>
              <w:bottom w:val="nil"/>
              <w:right w:val="nil"/>
            </w:tcBorders>
          </w:tcPr>
          <w:p w14:paraId="0CF8DCDD" w14:textId="77777777" w:rsidR="007561A4" w:rsidRDefault="007561A4" w:rsidP="00032B91">
            <w:pPr>
              <w:autoSpaceDE w:val="0"/>
              <w:autoSpaceDN w:val="0"/>
              <w:adjustRightInd w:val="0"/>
              <w:jc w:val="center"/>
            </w:pPr>
          </w:p>
        </w:tc>
        <w:tc>
          <w:tcPr>
            <w:tcW w:w="369" w:type="pct"/>
            <w:tcBorders>
              <w:top w:val="double" w:sz="4" w:space="0" w:color="auto"/>
              <w:left w:val="nil"/>
              <w:bottom w:val="nil"/>
              <w:right w:val="nil"/>
            </w:tcBorders>
          </w:tcPr>
          <w:p w14:paraId="423DD032" w14:textId="77777777" w:rsidR="007561A4" w:rsidRDefault="007561A4" w:rsidP="00032B91">
            <w:pPr>
              <w:autoSpaceDE w:val="0"/>
              <w:autoSpaceDN w:val="0"/>
              <w:adjustRightInd w:val="0"/>
              <w:jc w:val="center"/>
            </w:pPr>
          </w:p>
        </w:tc>
        <w:tc>
          <w:tcPr>
            <w:tcW w:w="370" w:type="pct"/>
            <w:tcBorders>
              <w:top w:val="double" w:sz="4" w:space="0" w:color="auto"/>
              <w:left w:val="nil"/>
              <w:bottom w:val="nil"/>
              <w:right w:val="nil"/>
            </w:tcBorders>
          </w:tcPr>
          <w:p w14:paraId="5868D3B2" w14:textId="77777777" w:rsidR="007561A4" w:rsidRDefault="007561A4" w:rsidP="00032B91">
            <w:pPr>
              <w:autoSpaceDE w:val="0"/>
              <w:autoSpaceDN w:val="0"/>
              <w:adjustRightInd w:val="0"/>
              <w:jc w:val="center"/>
            </w:pPr>
          </w:p>
        </w:tc>
        <w:tc>
          <w:tcPr>
            <w:tcW w:w="314" w:type="pct"/>
            <w:tcBorders>
              <w:top w:val="double" w:sz="4" w:space="0" w:color="auto"/>
              <w:left w:val="nil"/>
              <w:bottom w:val="nil"/>
              <w:right w:val="nil"/>
            </w:tcBorders>
          </w:tcPr>
          <w:p w14:paraId="488E4315" w14:textId="77777777" w:rsidR="007561A4" w:rsidRPr="00F116BE" w:rsidRDefault="007561A4" w:rsidP="00032B91">
            <w:pPr>
              <w:autoSpaceDE w:val="0"/>
              <w:autoSpaceDN w:val="0"/>
              <w:adjustRightInd w:val="0"/>
              <w:jc w:val="center"/>
            </w:pPr>
          </w:p>
        </w:tc>
      </w:tr>
      <w:tr w:rsidR="007561A4" w:rsidRPr="00F116BE" w14:paraId="6F2B2273" w14:textId="77777777" w:rsidTr="00A70FBA">
        <w:tc>
          <w:tcPr>
            <w:tcW w:w="505" w:type="pct"/>
            <w:tcBorders>
              <w:top w:val="nil"/>
              <w:left w:val="nil"/>
              <w:bottom w:val="single" w:sz="4" w:space="0" w:color="auto"/>
              <w:right w:val="nil"/>
            </w:tcBorders>
          </w:tcPr>
          <w:p w14:paraId="4C84A4AB" w14:textId="77777777" w:rsidR="007561A4" w:rsidRPr="007E18DA" w:rsidRDefault="007561A4" w:rsidP="00032B91">
            <w:pPr>
              <w:autoSpaceDE w:val="0"/>
              <w:autoSpaceDN w:val="0"/>
              <w:adjustRightInd w:val="0"/>
              <w:jc w:val="both"/>
            </w:pPr>
            <w:proofErr w:type="spellStart"/>
            <w:r>
              <w:t>EMV</w:t>
            </w:r>
            <w:r>
              <w:rPr>
                <w:vertAlign w:val="subscript"/>
              </w:rPr>
              <w:t>t</w:t>
            </w:r>
            <w:proofErr w:type="spellEnd"/>
          </w:p>
        </w:tc>
        <w:tc>
          <w:tcPr>
            <w:tcW w:w="398" w:type="pct"/>
            <w:tcBorders>
              <w:top w:val="nil"/>
              <w:left w:val="nil"/>
              <w:bottom w:val="single" w:sz="4" w:space="0" w:color="auto"/>
              <w:right w:val="nil"/>
            </w:tcBorders>
          </w:tcPr>
          <w:p w14:paraId="17AE2185" w14:textId="77777777" w:rsidR="007561A4" w:rsidRDefault="007561A4" w:rsidP="00032B91">
            <w:pPr>
              <w:autoSpaceDE w:val="0"/>
              <w:autoSpaceDN w:val="0"/>
              <w:adjustRightInd w:val="0"/>
              <w:jc w:val="center"/>
            </w:pPr>
            <w:r>
              <w:t>0.76</w:t>
            </w:r>
          </w:p>
          <w:p w14:paraId="0E48A64A" w14:textId="77777777" w:rsidR="007561A4" w:rsidRPr="00F116BE" w:rsidRDefault="007561A4" w:rsidP="00032B91">
            <w:pPr>
              <w:autoSpaceDE w:val="0"/>
              <w:autoSpaceDN w:val="0"/>
              <w:adjustRightInd w:val="0"/>
              <w:jc w:val="center"/>
            </w:pPr>
            <w:r>
              <w:t>(0.06)</w:t>
            </w:r>
          </w:p>
        </w:tc>
        <w:tc>
          <w:tcPr>
            <w:tcW w:w="367" w:type="pct"/>
            <w:tcBorders>
              <w:top w:val="nil"/>
              <w:left w:val="nil"/>
              <w:bottom w:val="single" w:sz="4" w:space="0" w:color="auto"/>
              <w:right w:val="nil"/>
            </w:tcBorders>
          </w:tcPr>
          <w:p w14:paraId="1420167D" w14:textId="77777777" w:rsidR="007561A4" w:rsidRDefault="007561A4" w:rsidP="00032B91">
            <w:pPr>
              <w:autoSpaceDE w:val="0"/>
              <w:autoSpaceDN w:val="0"/>
              <w:adjustRightInd w:val="0"/>
              <w:jc w:val="center"/>
            </w:pPr>
            <w:r>
              <w:t>0.75</w:t>
            </w:r>
          </w:p>
          <w:p w14:paraId="2E0B7654" w14:textId="77777777" w:rsidR="007561A4" w:rsidRPr="00F116BE" w:rsidRDefault="007561A4" w:rsidP="00032B91">
            <w:pPr>
              <w:autoSpaceDE w:val="0"/>
              <w:autoSpaceDN w:val="0"/>
              <w:adjustRightInd w:val="0"/>
              <w:jc w:val="center"/>
            </w:pPr>
            <w:r>
              <w:t>(0.06)</w:t>
            </w:r>
          </w:p>
        </w:tc>
        <w:tc>
          <w:tcPr>
            <w:tcW w:w="410" w:type="pct"/>
            <w:tcBorders>
              <w:top w:val="nil"/>
              <w:left w:val="nil"/>
              <w:bottom w:val="single" w:sz="4" w:space="0" w:color="auto"/>
              <w:right w:val="nil"/>
            </w:tcBorders>
          </w:tcPr>
          <w:p w14:paraId="08C741D8" w14:textId="77777777" w:rsidR="007561A4" w:rsidRDefault="007561A4" w:rsidP="00032B91">
            <w:pPr>
              <w:autoSpaceDE w:val="0"/>
              <w:autoSpaceDN w:val="0"/>
              <w:adjustRightInd w:val="0"/>
              <w:jc w:val="center"/>
            </w:pPr>
            <w:r>
              <w:t>0.78</w:t>
            </w:r>
          </w:p>
          <w:p w14:paraId="5F35C054" w14:textId="77777777" w:rsidR="007561A4" w:rsidRDefault="007561A4" w:rsidP="00032B91">
            <w:pPr>
              <w:autoSpaceDE w:val="0"/>
              <w:autoSpaceDN w:val="0"/>
              <w:adjustRightInd w:val="0"/>
              <w:jc w:val="center"/>
            </w:pPr>
            <w:r>
              <w:t>(0.06)</w:t>
            </w:r>
          </w:p>
        </w:tc>
        <w:tc>
          <w:tcPr>
            <w:tcW w:w="367" w:type="pct"/>
            <w:gridSpan w:val="2"/>
            <w:tcBorders>
              <w:top w:val="nil"/>
              <w:left w:val="nil"/>
              <w:bottom w:val="single" w:sz="4" w:space="0" w:color="auto"/>
              <w:right w:val="nil"/>
            </w:tcBorders>
          </w:tcPr>
          <w:p w14:paraId="2C202D95" w14:textId="77777777" w:rsidR="007561A4" w:rsidRDefault="007561A4" w:rsidP="00032B91">
            <w:pPr>
              <w:autoSpaceDE w:val="0"/>
              <w:autoSpaceDN w:val="0"/>
              <w:adjustRightInd w:val="0"/>
              <w:jc w:val="center"/>
            </w:pPr>
            <w:r>
              <w:t>0.76</w:t>
            </w:r>
          </w:p>
          <w:p w14:paraId="69818983" w14:textId="77777777" w:rsidR="007561A4" w:rsidRPr="00F116BE" w:rsidRDefault="007561A4" w:rsidP="00032B91">
            <w:pPr>
              <w:autoSpaceDE w:val="0"/>
              <w:autoSpaceDN w:val="0"/>
              <w:adjustRightInd w:val="0"/>
              <w:jc w:val="center"/>
            </w:pPr>
            <w:r>
              <w:t>(0.06)</w:t>
            </w:r>
          </w:p>
        </w:tc>
        <w:tc>
          <w:tcPr>
            <w:tcW w:w="444" w:type="pct"/>
            <w:tcBorders>
              <w:top w:val="nil"/>
              <w:left w:val="nil"/>
              <w:bottom w:val="single" w:sz="4" w:space="0" w:color="auto"/>
              <w:right w:val="nil"/>
            </w:tcBorders>
          </w:tcPr>
          <w:p w14:paraId="2985655F" w14:textId="77777777" w:rsidR="007561A4" w:rsidRDefault="007561A4" w:rsidP="00032B91">
            <w:pPr>
              <w:autoSpaceDE w:val="0"/>
              <w:autoSpaceDN w:val="0"/>
              <w:adjustRightInd w:val="0"/>
              <w:jc w:val="center"/>
            </w:pPr>
            <w:r>
              <w:t>0.77</w:t>
            </w:r>
          </w:p>
          <w:p w14:paraId="7D8EADDF" w14:textId="77777777" w:rsidR="007561A4" w:rsidRDefault="007561A4" w:rsidP="00032B91">
            <w:pPr>
              <w:autoSpaceDE w:val="0"/>
              <w:autoSpaceDN w:val="0"/>
              <w:adjustRightInd w:val="0"/>
              <w:jc w:val="center"/>
            </w:pPr>
            <w:r>
              <w:t>(0.06)</w:t>
            </w:r>
          </w:p>
        </w:tc>
        <w:tc>
          <w:tcPr>
            <w:tcW w:w="333" w:type="pct"/>
            <w:tcBorders>
              <w:top w:val="nil"/>
              <w:left w:val="nil"/>
              <w:bottom w:val="single" w:sz="4" w:space="0" w:color="auto"/>
              <w:right w:val="nil"/>
            </w:tcBorders>
          </w:tcPr>
          <w:p w14:paraId="65B14556" w14:textId="77777777" w:rsidR="007561A4" w:rsidRDefault="007561A4" w:rsidP="00032B91">
            <w:pPr>
              <w:autoSpaceDE w:val="0"/>
              <w:autoSpaceDN w:val="0"/>
              <w:adjustRightInd w:val="0"/>
              <w:jc w:val="center"/>
            </w:pPr>
            <w:r>
              <w:t>0.76</w:t>
            </w:r>
          </w:p>
          <w:p w14:paraId="5CBDE1DC" w14:textId="77777777" w:rsidR="007561A4" w:rsidRDefault="007561A4" w:rsidP="00032B91">
            <w:pPr>
              <w:autoSpaceDE w:val="0"/>
              <w:autoSpaceDN w:val="0"/>
              <w:adjustRightInd w:val="0"/>
              <w:jc w:val="center"/>
            </w:pPr>
            <w:r>
              <w:t>(0.06)</w:t>
            </w:r>
          </w:p>
        </w:tc>
        <w:tc>
          <w:tcPr>
            <w:tcW w:w="369" w:type="pct"/>
            <w:tcBorders>
              <w:top w:val="nil"/>
              <w:left w:val="nil"/>
              <w:bottom w:val="single" w:sz="4" w:space="0" w:color="auto"/>
              <w:right w:val="nil"/>
            </w:tcBorders>
          </w:tcPr>
          <w:p w14:paraId="7B8EAB28" w14:textId="77777777" w:rsidR="007561A4" w:rsidRDefault="007561A4" w:rsidP="00032B91">
            <w:pPr>
              <w:autoSpaceDE w:val="0"/>
              <w:autoSpaceDN w:val="0"/>
              <w:adjustRightInd w:val="0"/>
              <w:jc w:val="center"/>
            </w:pPr>
            <w:r>
              <w:t>0.76</w:t>
            </w:r>
          </w:p>
          <w:p w14:paraId="2B490F80" w14:textId="77777777" w:rsidR="007561A4" w:rsidRDefault="007561A4" w:rsidP="00032B91">
            <w:pPr>
              <w:autoSpaceDE w:val="0"/>
              <w:autoSpaceDN w:val="0"/>
              <w:adjustRightInd w:val="0"/>
              <w:jc w:val="center"/>
            </w:pPr>
            <w:r>
              <w:t>(0.06)</w:t>
            </w:r>
          </w:p>
        </w:tc>
        <w:tc>
          <w:tcPr>
            <w:tcW w:w="388" w:type="pct"/>
            <w:tcBorders>
              <w:top w:val="nil"/>
              <w:left w:val="nil"/>
              <w:bottom w:val="single" w:sz="4" w:space="0" w:color="auto"/>
              <w:right w:val="nil"/>
            </w:tcBorders>
          </w:tcPr>
          <w:p w14:paraId="2CE45F9E" w14:textId="77777777" w:rsidR="007561A4" w:rsidRDefault="007561A4" w:rsidP="00032B91">
            <w:pPr>
              <w:autoSpaceDE w:val="0"/>
              <w:autoSpaceDN w:val="0"/>
              <w:adjustRightInd w:val="0"/>
              <w:jc w:val="center"/>
            </w:pPr>
            <w:r>
              <w:t>0.74</w:t>
            </w:r>
          </w:p>
          <w:p w14:paraId="5034FA21" w14:textId="77777777" w:rsidR="007561A4" w:rsidRPr="00F116BE" w:rsidRDefault="007561A4" w:rsidP="00032B91">
            <w:pPr>
              <w:autoSpaceDE w:val="0"/>
              <w:autoSpaceDN w:val="0"/>
              <w:adjustRightInd w:val="0"/>
              <w:jc w:val="center"/>
            </w:pPr>
            <w:r>
              <w:t>(0.06)</w:t>
            </w:r>
          </w:p>
        </w:tc>
        <w:tc>
          <w:tcPr>
            <w:tcW w:w="366" w:type="pct"/>
            <w:tcBorders>
              <w:top w:val="nil"/>
              <w:left w:val="nil"/>
              <w:bottom w:val="single" w:sz="4" w:space="0" w:color="auto"/>
              <w:right w:val="nil"/>
            </w:tcBorders>
          </w:tcPr>
          <w:p w14:paraId="1B6C93A4" w14:textId="77777777" w:rsidR="007561A4" w:rsidRDefault="007561A4" w:rsidP="00032B91">
            <w:pPr>
              <w:autoSpaceDE w:val="0"/>
              <w:autoSpaceDN w:val="0"/>
              <w:adjustRightInd w:val="0"/>
              <w:jc w:val="center"/>
            </w:pPr>
            <w:r>
              <w:t>0.73</w:t>
            </w:r>
          </w:p>
          <w:p w14:paraId="2F68B147" w14:textId="77777777" w:rsidR="007561A4" w:rsidRDefault="007561A4" w:rsidP="00032B91">
            <w:pPr>
              <w:autoSpaceDE w:val="0"/>
              <w:autoSpaceDN w:val="0"/>
              <w:adjustRightInd w:val="0"/>
              <w:jc w:val="center"/>
            </w:pPr>
            <w:r>
              <w:t>(0.06)</w:t>
            </w:r>
          </w:p>
        </w:tc>
        <w:tc>
          <w:tcPr>
            <w:tcW w:w="369" w:type="pct"/>
            <w:tcBorders>
              <w:top w:val="nil"/>
              <w:left w:val="nil"/>
              <w:bottom w:val="single" w:sz="4" w:space="0" w:color="auto"/>
              <w:right w:val="nil"/>
            </w:tcBorders>
          </w:tcPr>
          <w:p w14:paraId="5E65BB32" w14:textId="77777777" w:rsidR="007561A4" w:rsidRDefault="007561A4" w:rsidP="00032B91">
            <w:pPr>
              <w:autoSpaceDE w:val="0"/>
              <w:autoSpaceDN w:val="0"/>
              <w:adjustRightInd w:val="0"/>
              <w:jc w:val="center"/>
            </w:pPr>
            <w:r>
              <w:t>0.72</w:t>
            </w:r>
          </w:p>
          <w:p w14:paraId="7FCB5529" w14:textId="77777777" w:rsidR="007561A4" w:rsidRDefault="007561A4" w:rsidP="00032B91">
            <w:pPr>
              <w:autoSpaceDE w:val="0"/>
              <w:autoSpaceDN w:val="0"/>
              <w:adjustRightInd w:val="0"/>
              <w:jc w:val="center"/>
            </w:pPr>
            <w:r>
              <w:t>(0.06)</w:t>
            </w:r>
          </w:p>
        </w:tc>
        <w:tc>
          <w:tcPr>
            <w:tcW w:w="370" w:type="pct"/>
            <w:tcBorders>
              <w:top w:val="nil"/>
              <w:left w:val="nil"/>
              <w:bottom w:val="single" w:sz="4" w:space="0" w:color="auto"/>
              <w:right w:val="nil"/>
            </w:tcBorders>
          </w:tcPr>
          <w:p w14:paraId="368F0A98" w14:textId="77777777" w:rsidR="007561A4" w:rsidRDefault="007561A4" w:rsidP="00032B91">
            <w:pPr>
              <w:autoSpaceDE w:val="0"/>
              <w:autoSpaceDN w:val="0"/>
              <w:adjustRightInd w:val="0"/>
              <w:jc w:val="center"/>
            </w:pPr>
            <w:r>
              <w:t>0.77</w:t>
            </w:r>
          </w:p>
          <w:p w14:paraId="28963712" w14:textId="77777777" w:rsidR="007561A4" w:rsidRDefault="007561A4" w:rsidP="00032B91">
            <w:pPr>
              <w:autoSpaceDE w:val="0"/>
              <w:autoSpaceDN w:val="0"/>
              <w:adjustRightInd w:val="0"/>
              <w:jc w:val="center"/>
            </w:pPr>
            <w:r>
              <w:t>(0.06)</w:t>
            </w:r>
          </w:p>
        </w:tc>
        <w:tc>
          <w:tcPr>
            <w:tcW w:w="314" w:type="pct"/>
            <w:tcBorders>
              <w:top w:val="nil"/>
              <w:left w:val="nil"/>
              <w:bottom w:val="single" w:sz="4" w:space="0" w:color="auto"/>
              <w:right w:val="nil"/>
            </w:tcBorders>
          </w:tcPr>
          <w:p w14:paraId="25CB7CD1" w14:textId="77777777" w:rsidR="007561A4" w:rsidRDefault="007561A4" w:rsidP="00032B91">
            <w:pPr>
              <w:autoSpaceDE w:val="0"/>
              <w:autoSpaceDN w:val="0"/>
              <w:adjustRightInd w:val="0"/>
              <w:jc w:val="center"/>
            </w:pPr>
            <w:r>
              <w:t>0.76</w:t>
            </w:r>
          </w:p>
          <w:p w14:paraId="0A801826" w14:textId="77777777" w:rsidR="007561A4" w:rsidRPr="00F116BE" w:rsidRDefault="007561A4" w:rsidP="00032B91">
            <w:pPr>
              <w:autoSpaceDE w:val="0"/>
              <w:autoSpaceDN w:val="0"/>
              <w:adjustRightInd w:val="0"/>
              <w:jc w:val="center"/>
            </w:pPr>
            <w:r>
              <w:t>(0.06)</w:t>
            </w:r>
          </w:p>
        </w:tc>
      </w:tr>
      <w:tr w:rsidR="007561A4" w:rsidRPr="00F116BE" w14:paraId="6ECF5D4B" w14:textId="77777777" w:rsidTr="00A70FBA">
        <w:tc>
          <w:tcPr>
            <w:tcW w:w="505" w:type="pct"/>
            <w:tcBorders>
              <w:top w:val="single" w:sz="4" w:space="0" w:color="auto"/>
              <w:left w:val="nil"/>
              <w:bottom w:val="single" w:sz="4" w:space="0" w:color="auto"/>
              <w:right w:val="nil"/>
            </w:tcBorders>
          </w:tcPr>
          <w:p w14:paraId="64D57BE7" w14:textId="77777777" w:rsidR="007561A4" w:rsidRPr="007E18DA" w:rsidRDefault="007561A4" w:rsidP="00032B91">
            <w:pPr>
              <w:autoSpaceDE w:val="0"/>
              <w:autoSpaceDN w:val="0"/>
              <w:adjustRightInd w:val="0"/>
              <w:jc w:val="both"/>
            </w:pPr>
            <w:r>
              <w:t>R</w:t>
            </w:r>
            <w:r>
              <w:rPr>
                <w:vertAlign w:val="superscript"/>
              </w:rPr>
              <w:t>2</w:t>
            </w:r>
          </w:p>
        </w:tc>
        <w:tc>
          <w:tcPr>
            <w:tcW w:w="398" w:type="pct"/>
            <w:tcBorders>
              <w:top w:val="single" w:sz="4" w:space="0" w:color="auto"/>
              <w:left w:val="nil"/>
              <w:bottom w:val="single" w:sz="4" w:space="0" w:color="auto"/>
              <w:right w:val="nil"/>
            </w:tcBorders>
          </w:tcPr>
          <w:p w14:paraId="6CFF3CEF" w14:textId="77777777" w:rsidR="007561A4" w:rsidRPr="00F116BE" w:rsidRDefault="007561A4" w:rsidP="00032B91">
            <w:pPr>
              <w:autoSpaceDE w:val="0"/>
              <w:autoSpaceDN w:val="0"/>
              <w:adjustRightInd w:val="0"/>
              <w:jc w:val="center"/>
            </w:pPr>
            <w:r>
              <w:t>0.611</w:t>
            </w:r>
          </w:p>
        </w:tc>
        <w:tc>
          <w:tcPr>
            <w:tcW w:w="367" w:type="pct"/>
            <w:tcBorders>
              <w:top w:val="single" w:sz="4" w:space="0" w:color="auto"/>
              <w:left w:val="nil"/>
              <w:bottom w:val="single" w:sz="4" w:space="0" w:color="auto"/>
              <w:right w:val="nil"/>
            </w:tcBorders>
          </w:tcPr>
          <w:p w14:paraId="16D18BDF" w14:textId="77777777" w:rsidR="007561A4" w:rsidRPr="00F116BE" w:rsidRDefault="007561A4" w:rsidP="00032B91">
            <w:pPr>
              <w:autoSpaceDE w:val="0"/>
              <w:autoSpaceDN w:val="0"/>
              <w:adjustRightInd w:val="0"/>
              <w:jc w:val="center"/>
            </w:pPr>
            <w:r>
              <w:t>0.603</w:t>
            </w:r>
          </w:p>
        </w:tc>
        <w:tc>
          <w:tcPr>
            <w:tcW w:w="410" w:type="pct"/>
            <w:tcBorders>
              <w:top w:val="single" w:sz="4" w:space="0" w:color="auto"/>
              <w:left w:val="nil"/>
              <w:bottom w:val="single" w:sz="4" w:space="0" w:color="auto"/>
              <w:right w:val="nil"/>
            </w:tcBorders>
          </w:tcPr>
          <w:p w14:paraId="7FEFA4FA" w14:textId="77777777" w:rsidR="007561A4" w:rsidRDefault="007561A4" w:rsidP="00032B91">
            <w:pPr>
              <w:autoSpaceDE w:val="0"/>
              <w:autoSpaceDN w:val="0"/>
              <w:adjustRightInd w:val="0"/>
              <w:jc w:val="center"/>
            </w:pPr>
            <w:r>
              <w:t>0.613</w:t>
            </w:r>
          </w:p>
        </w:tc>
        <w:tc>
          <w:tcPr>
            <w:tcW w:w="367" w:type="pct"/>
            <w:gridSpan w:val="2"/>
            <w:tcBorders>
              <w:top w:val="single" w:sz="4" w:space="0" w:color="auto"/>
              <w:left w:val="nil"/>
              <w:bottom w:val="single" w:sz="4" w:space="0" w:color="auto"/>
              <w:right w:val="nil"/>
            </w:tcBorders>
          </w:tcPr>
          <w:p w14:paraId="27990927" w14:textId="77777777" w:rsidR="007561A4" w:rsidRPr="00F116BE" w:rsidRDefault="007561A4" w:rsidP="00032B91">
            <w:pPr>
              <w:autoSpaceDE w:val="0"/>
              <w:autoSpaceDN w:val="0"/>
              <w:adjustRightInd w:val="0"/>
              <w:jc w:val="center"/>
            </w:pPr>
            <w:r>
              <w:t>0.598</w:t>
            </w:r>
          </w:p>
        </w:tc>
        <w:tc>
          <w:tcPr>
            <w:tcW w:w="444" w:type="pct"/>
            <w:tcBorders>
              <w:top w:val="single" w:sz="4" w:space="0" w:color="auto"/>
              <w:left w:val="nil"/>
              <w:bottom w:val="single" w:sz="4" w:space="0" w:color="auto"/>
              <w:right w:val="nil"/>
            </w:tcBorders>
          </w:tcPr>
          <w:p w14:paraId="3500DA3C" w14:textId="77777777" w:rsidR="007561A4" w:rsidRDefault="007561A4" w:rsidP="00032B91">
            <w:pPr>
              <w:autoSpaceDE w:val="0"/>
              <w:autoSpaceDN w:val="0"/>
              <w:adjustRightInd w:val="0"/>
              <w:jc w:val="center"/>
            </w:pPr>
            <w:r>
              <w:t>0.603</w:t>
            </w:r>
          </w:p>
        </w:tc>
        <w:tc>
          <w:tcPr>
            <w:tcW w:w="333" w:type="pct"/>
            <w:tcBorders>
              <w:top w:val="single" w:sz="4" w:space="0" w:color="auto"/>
              <w:left w:val="nil"/>
              <w:bottom w:val="single" w:sz="4" w:space="0" w:color="auto"/>
              <w:right w:val="nil"/>
            </w:tcBorders>
          </w:tcPr>
          <w:p w14:paraId="7CC10B0E" w14:textId="77777777" w:rsidR="007561A4" w:rsidRDefault="007561A4" w:rsidP="00032B91">
            <w:pPr>
              <w:autoSpaceDE w:val="0"/>
              <w:autoSpaceDN w:val="0"/>
              <w:adjustRightInd w:val="0"/>
              <w:jc w:val="center"/>
            </w:pPr>
            <w:r>
              <w:t>0.607</w:t>
            </w:r>
          </w:p>
        </w:tc>
        <w:tc>
          <w:tcPr>
            <w:tcW w:w="369" w:type="pct"/>
            <w:tcBorders>
              <w:top w:val="single" w:sz="4" w:space="0" w:color="auto"/>
              <w:left w:val="nil"/>
              <w:bottom w:val="single" w:sz="4" w:space="0" w:color="auto"/>
              <w:right w:val="nil"/>
            </w:tcBorders>
          </w:tcPr>
          <w:p w14:paraId="14D2216F" w14:textId="77777777" w:rsidR="007561A4" w:rsidRDefault="007561A4" w:rsidP="00032B91">
            <w:pPr>
              <w:autoSpaceDE w:val="0"/>
              <w:autoSpaceDN w:val="0"/>
              <w:adjustRightInd w:val="0"/>
              <w:jc w:val="center"/>
            </w:pPr>
            <w:r>
              <w:t>0.605</w:t>
            </w:r>
          </w:p>
        </w:tc>
        <w:tc>
          <w:tcPr>
            <w:tcW w:w="388" w:type="pct"/>
            <w:tcBorders>
              <w:top w:val="single" w:sz="4" w:space="0" w:color="auto"/>
              <w:left w:val="nil"/>
              <w:bottom w:val="single" w:sz="4" w:space="0" w:color="auto"/>
              <w:right w:val="nil"/>
            </w:tcBorders>
          </w:tcPr>
          <w:p w14:paraId="5C5950DA" w14:textId="77777777" w:rsidR="007561A4" w:rsidRPr="00F116BE" w:rsidRDefault="007561A4" w:rsidP="00032B91">
            <w:pPr>
              <w:autoSpaceDE w:val="0"/>
              <w:autoSpaceDN w:val="0"/>
              <w:adjustRightInd w:val="0"/>
              <w:jc w:val="center"/>
            </w:pPr>
            <w:r>
              <w:t>0.611</w:t>
            </w:r>
          </w:p>
        </w:tc>
        <w:tc>
          <w:tcPr>
            <w:tcW w:w="366" w:type="pct"/>
            <w:tcBorders>
              <w:top w:val="single" w:sz="4" w:space="0" w:color="auto"/>
              <w:left w:val="nil"/>
              <w:bottom w:val="single" w:sz="4" w:space="0" w:color="auto"/>
              <w:right w:val="nil"/>
            </w:tcBorders>
          </w:tcPr>
          <w:p w14:paraId="697F9781" w14:textId="77777777" w:rsidR="007561A4" w:rsidRDefault="007561A4" w:rsidP="00032B91">
            <w:pPr>
              <w:autoSpaceDE w:val="0"/>
              <w:autoSpaceDN w:val="0"/>
              <w:adjustRightInd w:val="0"/>
              <w:jc w:val="center"/>
            </w:pPr>
            <w:r>
              <w:t>0.598</w:t>
            </w:r>
          </w:p>
        </w:tc>
        <w:tc>
          <w:tcPr>
            <w:tcW w:w="369" w:type="pct"/>
            <w:tcBorders>
              <w:top w:val="single" w:sz="4" w:space="0" w:color="auto"/>
              <w:left w:val="nil"/>
              <w:bottom w:val="single" w:sz="4" w:space="0" w:color="auto"/>
              <w:right w:val="nil"/>
            </w:tcBorders>
          </w:tcPr>
          <w:p w14:paraId="5EE427AC" w14:textId="77777777" w:rsidR="007561A4" w:rsidRDefault="007561A4" w:rsidP="00032B91">
            <w:pPr>
              <w:autoSpaceDE w:val="0"/>
              <w:autoSpaceDN w:val="0"/>
              <w:adjustRightInd w:val="0"/>
              <w:jc w:val="center"/>
            </w:pPr>
            <w:r>
              <w:t>0.603</w:t>
            </w:r>
          </w:p>
        </w:tc>
        <w:tc>
          <w:tcPr>
            <w:tcW w:w="370" w:type="pct"/>
            <w:tcBorders>
              <w:top w:val="single" w:sz="4" w:space="0" w:color="auto"/>
              <w:left w:val="nil"/>
              <w:bottom w:val="single" w:sz="4" w:space="0" w:color="auto"/>
              <w:right w:val="nil"/>
            </w:tcBorders>
          </w:tcPr>
          <w:p w14:paraId="71D2DC54" w14:textId="77777777" w:rsidR="007561A4" w:rsidRDefault="007561A4" w:rsidP="00032B91">
            <w:pPr>
              <w:autoSpaceDE w:val="0"/>
              <w:autoSpaceDN w:val="0"/>
              <w:adjustRightInd w:val="0"/>
              <w:jc w:val="center"/>
            </w:pPr>
            <w:r>
              <w:t>0.618</w:t>
            </w:r>
          </w:p>
        </w:tc>
        <w:tc>
          <w:tcPr>
            <w:tcW w:w="314" w:type="pct"/>
            <w:tcBorders>
              <w:top w:val="single" w:sz="4" w:space="0" w:color="auto"/>
              <w:left w:val="nil"/>
              <w:bottom w:val="single" w:sz="4" w:space="0" w:color="auto"/>
              <w:right w:val="nil"/>
            </w:tcBorders>
          </w:tcPr>
          <w:p w14:paraId="415B8378" w14:textId="77777777" w:rsidR="007561A4" w:rsidRPr="00F116BE" w:rsidRDefault="007561A4" w:rsidP="00032B91">
            <w:pPr>
              <w:autoSpaceDE w:val="0"/>
              <w:autoSpaceDN w:val="0"/>
              <w:adjustRightInd w:val="0"/>
              <w:jc w:val="center"/>
            </w:pPr>
            <w:r>
              <w:t>0.610</w:t>
            </w:r>
          </w:p>
        </w:tc>
      </w:tr>
      <w:tr w:rsidR="007561A4" w:rsidRPr="00F116BE" w14:paraId="1EA39EF5" w14:textId="77777777" w:rsidTr="00A70FBA">
        <w:tc>
          <w:tcPr>
            <w:tcW w:w="505" w:type="pct"/>
            <w:tcBorders>
              <w:top w:val="single" w:sz="4" w:space="0" w:color="auto"/>
              <w:left w:val="nil"/>
              <w:bottom w:val="single" w:sz="4" w:space="0" w:color="auto"/>
              <w:right w:val="nil"/>
            </w:tcBorders>
          </w:tcPr>
          <w:p w14:paraId="243B0A1F" w14:textId="77777777" w:rsidR="007561A4" w:rsidRPr="00F116BE" w:rsidRDefault="007561A4" w:rsidP="00032B91">
            <w:pPr>
              <w:autoSpaceDE w:val="0"/>
              <w:autoSpaceDN w:val="0"/>
              <w:adjustRightInd w:val="0"/>
              <w:jc w:val="both"/>
            </w:pPr>
            <w:r>
              <w:t>Obs.</w:t>
            </w:r>
          </w:p>
        </w:tc>
        <w:tc>
          <w:tcPr>
            <w:tcW w:w="398" w:type="pct"/>
            <w:tcBorders>
              <w:top w:val="single" w:sz="4" w:space="0" w:color="auto"/>
              <w:left w:val="nil"/>
              <w:bottom w:val="single" w:sz="4" w:space="0" w:color="auto"/>
              <w:right w:val="nil"/>
            </w:tcBorders>
          </w:tcPr>
          <w:p w14:paraId="0800151E" w14:textId="77777777" w:rsidR="007561A4" w:rsidRPr="00F116BE" w:rsidRDefault="007561A4" w:rsidP="00032B91">
            <w:pPr>
              <w:autoSpaceDE w:val="0"/>
              <w:autoSpaceDN w:val="0"/>
              <w:adjustRightInd w:val="0"/>
              <w:jc w:val="center"/>
            </w:pPr>
            <w:r w:rsidRPr="00F116BE">
              <w:t>396</w:t>
            </w:r>
          </w:p>
        </w:tc>
        <w:tc>
          <w:tcPr>
            <w:tcW w:w="367" w:type="pct"/>
            <w:tcBorders>
              <w:top w:val="single" w:sz="4" w:space="0" w:color="auto"/>
              <w:left w:val="nil"/>
              <w:bottom w:val="single" w:sz="4" w:space="0" w:color="auto"/>
              <w:right w:val="nil"/>
            </w:tcBorders>
          </w:tcPr>
          <w:p w14:paraId="0636C8D0" w14:textId="77777777" w:rsidR="007561A4" w:rsidRPr="00F116BE" w:rsidRDefault="007561A4" w:rsidP="00032B91">
            <w:pPr>
              <w:autoSpaceDE w:val="0"/>
              <w:autoSpaceDN w:val="0"/>
              <w:adjustRightInd w:val="0"/>
              <w:jc w:val="center"/>
            </w:pPr>
            <w:r w:rsidRPr="00F116BE">
              <w:t>396</w:t>
            </w:r>
          </w:p>
        </w:tc>
        <w:tc>
          <w:tcPr>
            <w:tcW w:w="410" w:type="pct"/>
            <w:tcBorders>
              <w:top w:val="single" w:sz="4" w:space="0" w:color="auto"/>
              <w:left w:val="nil"/>
              <w:bottom w:val="single" w:sz="4" w:space="0" w:color="auto"/>
              <w:right w:val="nil"/>
            </w:tcBorders>
          </w:tcPr>
          <w:p w14:paraId="7EC28DC7" w14:textId="77777777" w:rsidR="007561A4" w:rsidRPr="00F116BE" w:rsidRDefault="007561A4" w:rsidP="00032B91">
            <w:pPr>
              <w:autoSpaceDE w:val="0"/>
              <w:autoSpaceDN w:val="0"/>
              <w:adjustRightInd w:val="0"/>
              <w:jc w:val="center"/>
            </w:pPr>
            <w:r w:rsidRPr="00F116BE">
              <w:t>396</w:t>
            </w:r>
          </w:p>
        </w:tc>
        <w:tc>
          <w:tcPr>
            <w:tcW w:w="367" w:type="pct"/>
            <w:gridSpan w:val="2"/>
            <w:tcBorders>
              <w:top w:val="single" w:sz="4" w:space="0" w:color="auto"/>
              <w:left w:val="nil"/>
              <w:bottom w:val="single" w:sz="4" w:space="0" w:color="auto"/>
              <w:right w:val="nil"/>
            </w:tcBorders>
          </w:tcPr>
          <w:p w14:paraId="08C610AB" w14:textId="77777777" w:rsidR="007561A4" w:rsidRPr="00F116BE" w:rsidRDefault="007561A4" w:rsidP="00032B91">
            <w:pPr>
              <w:autoSpaceDE w:val="0"/>
              <w:autoSpaceDN w:val="0"/>
              <w:adjustRightInd w:val="0"/>
              <w:jc w:val="center"/>
            </w:pPr>
            <w:r w:rsidRPr="00F116BE">
              <w:t>396</w:t>
            </w:r>
          </w:p>
        </w:tc>
        <w:tc>
          <w:tcPr>
            <w:tcW w:w="444" w:type="pct"/>
            <w:tcBorders>
              <w:top w:val="single" w:sz="4" w:space="0" w:color="auto"/>
              <w:left w:val="nil"/>
              <w:bottom w:val="single" w:sz="4" w:space="0" w:color="auto"/>
              <w:right w:val="nil"/>
            </w:tcBorders>
          </w:tcPr>
          <w:p w14:paraId="317A2FE3" w14:textId="77777777" w:rsidR="007561A4" w:rsidRPr="00F116BE" w:rsidRDefault="007561A4" w:rsidP="00032B91">
            <w:pPr>
              <w:autoSpaceDE w:val="0"/>
              <w:autoSpaceDN w:val="0"/>
              <w:adjustRightInd w:val="0"/>
              <w:jc w:val="center"/>
            </w:pPr>
            <w:r w:rsidRPr="00F116BE">
              <w:t>396</w:t>
            </w:r>
          </w:p>
        </w:tc>
        <w:tc>
          <w:tcPr>
            <w:tcW w:w="333" w:type="pct"/>
            <w:tcBorders>
              <w:top w:val="single" w:sz="4" w:space="0" w:color="auto"/>
              <w:left w:val="nil"/>
              <w:bottom w:val="single" w:sz="4" w:space="0" w:color="auto"/>
              <w:right w:val="nil"/>
            </w:tcBorders>
          </w:tcPr>
          <w:p w14:paraId="378BE10C" w14:textId="77777777" w:rsidR="007561A4" w:rsidRPr="00F116BE" w:rsidRDefault="007561A4" w:rsidP="00032B91">
            <w:pPr>
              <w:autoSpaceDE w:val="0"/>
              <w:autoSpaceDN w:val="0"/>
              <w:adjustRightInd w:val="0"/>
              <w:jc w:val="center"/>
            </w:pPr>
            <w:r w:rsidRPr="00F116BE">
              <w:t>396</w:t>
            </w:r>
          </w:p>
        </w:tc>
        <w:tc>
          <w:tcPr>
            <w:tcW w:w="369" w:type="pct"/>
            <w:tcBorders>
              <w:top w:val="single" w:sz="4" w:space="0" w:color="auto"/>
              <w:left w:val="nil"/>
              <w:bottom w:val="single" w:sz="4" w:space="0" w:color="auto"/>
              <w:right w:val="nil"/>
            </w:tcBorders>
          </w:tcPr>
          <w:p w14:paraId="0C454B13" w14:textId="77777777" w:rsidR="007561A4" w:rsidRPr="00F116BE" w:rsidRDefault="007561A4" w:rsidP="00032B91">
            <w:pPr>
              <w:autoSpaceDE w:val="0"/>
              <w:autoSpaceDN w:val="0"/>
              <w:adjustRightInd w:val="0"/>
              <w:jc w:val="center"/>
            </w:pPr>
            <w:r w:rsidRPr="00F116BE">
              <w:t>396</w:t>
            </w:r>
          </w:p>
        </w:tc>
        <w:tc>
          <w:tcPr>
            <w:tcW w:w="388" w:type="pct"/>
            <w:tcBorders>
              <w:top w:val="single" w:sz="4" w:space="0" w:color="auto"/>
              <w:left w:val="nil"/>
              <w:bottom w:val="single" w:sz="4" w:space="0" w:color="auto"/>
              <w:right w:val="nil"/>
            </w:tcBorders>
          </w:tcPr>
          <w:p w14:paraId="595DD6D7" w14:textId="77777777" w:rsidR="007561A4" w:rsidRPr="00F116BE" w:rsidRDefault="007561A4" w:rsidP="00032B91">
            <w:pPr>
              <w:autoSpaceDE w:val="0"/>
              <w:autoSpaceDN w:val="0"/>
              <w:adjustRightInd w:val="0"/>
              <w:jc w:val="center"/>
            </w:pPr>
            <w:r w:rsidRPr="00F116BE">
              <w:t>396</w:t>
            </w:r>
          </w:p>
        </w:tc>
        <w:tc>
          <w:tcPr>
            <w:tcW w:w="366" w:type="pct"/>
            <w:tcBorders>
              <w:top w:val="single" w:sz="4" w:space="0" w:color="auto"/>
              <w:left w:val="nil"/>
              <w:bottom w:val="single" w:sz="4" w:space="0" w:color="auto"/>
              <w:right w:val="nil"/>
            </w:tcBorders>
          </w:tcPr>
          <w:p w14:paraId="0007E621" w14:textId="77777777" w:rsidR="007561A4" w:rsidRPr="00F116BE" w:rsidRDefault="007561A4" w:rsidP="00032B91">
            <w:pPr>
              <w:autoSpaceDE w:val="0"/>
              <w:autoSpaceDN w:val="0"/>
              <w:adjustRightInd w:val="0"/>
              <w:jc w:val="center"/>
            </w:pPr>
            <w:r w:rsidRPr="00F116BE">
              <w:t>396</w:t>
            </w:r>
          </w:p>
        </w:tc>
        <w:tc>
          <w:tcPr>
            <w:tcW w:w="369" w:type="pct"/>
            <w:tcBorders>
              <w:top w:val="single" w:sz="4" w:space="0" w:color="auto"/>
              <w:left w:val="nil"/>
              <w:bottom w:val="single" w:sz="4" w:space="0" w:color="auto"/>
              <w:right w:val="nil"/>
            </w:tcBorders>
          </w:tcPr>
          <w:p w14:paraId="4A14224E" w14:textId="77777777" w:rsidR="007561A4" w:rsidRPr="00F116BE" w:rsidRDefault="007561A4" w:rsidP="00032B91">
            <w:pPr>
              <w:autoSpaceDE w:val="0"/>
              <w:autoSpaceDN w:val="0"/>
              <w:adjustRightInd w:val="0"/>
              <w:jc w:val="center"/>
            </w:pPr>
            <w:r w:rsidRPr="00F116BE">
              <w:t>396</w:t>
            </w:r>
          </w:p>
        </w:tc>
        <w:tc>
          <w:tcPr>
            <w:tcW w:w="370" w:type="pct"/>
            <w:tcBorders>
              <w:top w:val="single" w:sz="4" w:space="0" w:color="auto"/>
              <w:left w:val="nil"/>
              <w:bottom w:val="single" w:sz="4" w:space="0" w:color="auto"/>
              <w:right w:val="nil"/>
            </w:tcBorders>
          </w:tcPr>
          <w:p w14:paraId="0174EB86" w14:textId="77777777" w:rsidR="007561A4" w:rsidRPr="00F116BE" w:rsidRDefault="007561A4" w:rsidP="00032B91">
            <w:pPr>
              <w:autoSpaceDE w:val="0"/>
              <w:autoSpaceDN w:val="0"/>
              <w:adjustRightInd w:val="0"/>
              <w:jc w:val="center"/>
            </w:pPr>
            <w:r w:rsidRPr="00F116BE">
              <w:t>396</w:t>
            </w:r>
          </w:p>
        </w:tc>
        <w:tc>
          <w:tcPr>
            <w:tcW w:w="314" w:type="pct"/>
            <w:tcBorders>
              <w:top w:val="single" w:sz="4" w:space="0" w:color="auto"/>
              <w:left w:val="nil"/>
              <w:bottom w:val="single" w:sz="4" w:space="0" w:color="auto"/>
              <w:right w:val="nil"/>
            </w:tcBorders>
          </w:tcPr>
          <w:p w14:paraId="7D7C24FB" w14:textId="77777777" w:rsidR="007561A4" w:rsidRPr="00F116BE" w:rsidRDefault="007561A4" w:rsidP="00032B91">
            <w:pPr>
              <w:autoSpaceDE w:val="0"/>
              <w:autoSpaceDN w:val="0"/>
              <w:adjustRightInd w:val="0"/>
              <w:jc w:val="center"/>
            </w:pPr>
            <w:r w:rsidRPr="00F116BE">
              <w:t>396</w:t>
            </w:r>
          </w:p>
        </w:tc>
      </w:tr>
      <w:tr w:rsidR="00A70FBA" w:rsidRPr="00F116BE" w14:paraId="375FF92A" w14:textId="77777777" w:rsidTr="00A70FBA">
        <w:tc>
          <w:tcPr>
            <w:tcW w:w="5000" w:type="pct"/>
            <w:gridSpan w:val="14"/>
            <w:tcBorders>
              <w:top w:val="single" w:sz="4" w:space="0" w:color="auto"/>
              <w:left w:val="nil"/>
              <w:bottom w:val="double" w:sz="4" w:space="0" w:color="auto"/>
              <w:right w:val="nil"/>
            </w:tcBorders>
          </w:tcPr>
          <w:p w14:paraId="430F2735" w14:textId="008B49DC" w:rsidR="00A70FBA" w:rsidRPr="00F116BE" w:rsidRDefault="00A70FBA" w:rsidP="00A70FBA">
            <w:pPr>
              <w:autoSpaceDE w:val="0"/>
              <w:autoSpaceDN w:val="0"/>
              <w:adjustRightInd w:val="0"/>
            </w:pPr>
            <w:r w:rsidRPr="000B491B">
              <w:rPr>
                <w:b/>
              </w:rPr>
              <w:t xml:space="preserve">Panel C: </w:t>
            </w:r>
            <w:r>
              <w:rPr>
                <w:b/>
              </w:rPr>
              <w:t>Using</w:t>
            </w:r>
            <w:r w:rsidRPr="000B491B">
              <w:rPr>
                <w:b/>
              </w:rPr>
              <w:t xml:space="preserve"> only the indicated newspaper</w:t>
            </w:r>
          </w:p>
        </w:tc>
      </w:tr>
      <w:tr w:rsidR="00D46C91" w:rsidRPr="00F116BE" w14:paraId="4EB319EF" w14:textId="77777777" w:rsidTr="00A70FBA">
        <w:tc>
          <w:tcPr>
            <w:tcW w:w="505" w:type="pct"/>
            <w:tcBorders>
              <w:top w:val="single" w:sz="4" w:space="0" w:color="auto"/>
              <w:left w:val="nil"/>
              <w:bottom w:val="double" w:sz="4" w:space="0" w:color="auto"/>
              <w:right w:val="nil"/>
            </w:tcBorders>
          </w:tcPr>
          <w:p w14:paraId="1946171C" w14:textId="47F6D039" w:rsidR="00D46C91" w:rsidRPr="000B491B" w:rsidRDefault="00D46C91" w:rsidP="00D46C91">
            <w:pPr>
              <w:autoSpaceDE w:val="0"/>
              <w:autoSpaceDN w:val="0"/>
              <w:adjustRightInd w:val="0"/>
              <w:jc w:val="both"/>
              <w:rPr>
                <w:b/>
              </w:rPr>
            </w:pPr>
            <w:proofErr w:type="spellStart"/>
            <w:r>
              <w:t>EMV</w:t>
            </w:r>
            <w:r>
              <w:rPr>
                <w:vertAlign w:val="subscript"/>
              </w:rPr>
              <w:t>t</w:t>
            </w:r>
            <w:proofErr w:type="spellEnd"/>
          </w:p>
        </w:tc>
        <w:tc>
          <w:tcPr>
            <w:tcW w:w="398" w:type="pct"/>
            <w:tcBorders>
              <w:top w:val="single" w:sz="4" w:space="0" w:color="auto"/>
              <w:left w:val="nil"/>
              <w:bottom w:val="double" w:sz="4" w:space="0" w:color="auto"/>
              <w:right w:val="nil"/>
            </w:tcBorders>
          </w:tcPr>
          <w:p w14:paraId="629EF1D9" w14:textId="77777777" w:rsidR="00D46C91" w:rsidRDefault="00D46C91" w:rsidP="00D46C91">
            <w:pPr>
              <w:autoSpaceDE w:val="0"/>
              <w:autoSpaceDN w:val="0"/>
              <w:adjustRightInd w:val="0"/>
              <w:jc w:val="center"/>
            </w:pPr>
            <w:r>
              <w:t>0.76</w:t>
            </w:r>
          </w:p>
          <w:p w14:paraId="30F15A20" w14:textId="06B0F531" w:rsidR="00D46C91" w:rsidRPr="00F116BE" w:rsidRDefault="00D46C91" w:rsidP="00D46C91">
            <w:pPr>
              <w:autoSpaceDE w:val="0"/>
              <w:autoSpaceDN w:val="0"/>
              <w:adjustRightInd w:val="0"/>
              <w:jc w:val="center"/>
            </w:pPr>
            <w:r>
              <w:t>(0.06)</w:t>
            </w:r>
          </w:p>
        </w:tc>
        <w:tc>
          <w:tcPr>
            <w:tcW w:w="367" w:type="pct"/>
            <w:tcBorders>
              <w:top w:val="single" w:sz="4" w:space="0" w:color="auto"/>
              <w:left w:val="nil"/>
              <w:bottom w:val="double" w:sz="4" w:space="0" w:color="auto"/>
              <w:right w:val="nil"/>
            </w:tcBorders>
          </w:tcPr>
          <w:p w14:paraId="4DBB06BB" w14:textId="77777777" w:rsidR="00D46C91" w:rsidRDefault="00D46C91" w:rsidP="00D46C91">
            <w:pPr>
              <w:autoSpaceDE w:val="0"/>
              <w:autoSpaceDN w:val="0"/>
              <w:adjustRightInd w:val="0"/>
              <w:jc w:val="center"/>
            </w:pPr>
            <w:r>
              <w:t>0.29</w:t>
            </w:r>
          </w:p>
          <w:p w14:paraId="361B4602" w14:textId="1AFE1B0A" w:rsidR="00D46C91" w:rsidRPr="00F116BE" w:rsidRDefault="00D46C91" w:rsidP="00D46C91">
            <w:pPr>
              <w:autoSpaceDE w:val="0"/>
              <w:autoSpaceDN w:val="0"/>
              <w:adjustRightInd w:val="0"/>
              <w:jc w:val="center"/>
            </w:pPr>
            <w:r>
              <w:t>(0.04)</w:t>
            </w:r>
          </w:p>
        </w:tc>
        <w:tc>
          <w:tcPr>
            <w:tcW w:w="410" w:type="pct"/>
            <w:tcBorders>
              <w:top w:val="single" w:sz="4" w:space="0" w:color="auto"/>
              <w:left w:val="nil"/>
              <w:bottom w:val="double" w:sz="4" w:space="0" w:color="auto"/>
              <w:right w:val="nil"/>
            </w:tcBorders>
          </w:tcPr>
          <w:p w14:paraId="215FFFB7" w14:textId="77777777" w:rsidR="00D46C91" w:rsidRDefault="00D46C91" w:rsidP="00D46C91">
            <w:pPr>
              <w:autoSpaceDE w:val="0"/>
              <w:autoSpaceDN w:val="0"/>
              <w:adjustRightInd w:val="0"/>
              <w:jc w:val="center"/>
            </w:pPr>
            <w:r>
              <w:t>0.39</w:t>
            </w:r>
          </w:p>
          <w:p w14:paraId="4F598009" w14:textId="7AE1C1FB" w:rsidR="00D46C91" w:rsidRPr="00F116BE" w:rsidRDefault="00D46C91" w:rsidP="00D46C91">
            <w:pPr>
              <w:autoSpaceDE w:val="0"/>
              <w:autoSpaceDN w:val="0"/>
              <w:adjustRightInd w:val="0"/>
              <w:jc w:val="center"/>
            </w:pPr>
            <w:r>
              <w:t>(0.05)</w:t>
            </w:r>
          </w:p>
        </w:tc>
        <w:tc>
          <w:tcPr>
            <w:tcW w:w="367" w:type="pct"/>
            <w:gridSpan w:val="2"/>
            <w:tcBorders>
              <w:top w:val="single" w:sz="4" w:space="0" w:color="auto"/>
              <w:left w:val="nil"/>
              <w:bottom w:val="double" w:sz="4" w:space="0" w:color="auto"/>
              <w:right w:val="nil"/>
            </w:tcBorders>
          </w:tcPr>
          <w:p w14:paraId="41DBA45B" w14:textId="77777777" w:rsidR="00D46C91" w:rsidRDefault="00D46C91" w:rsidP="00D46C91">
            <w:pPr>
              <w:autoSpaceDE w:val="0"/>
              <w:autoSpaceDN w:val="0"/>
              <w:adjustRightInd w:val="0"/>
              <w:jc w:val="center"/>
            </w:pPr>
            <w:r>
              <w:t>0.39</w:t>
            </w:r>
          </w:p>
          <w:p w14:paraId="3791B3C9" w14:textId="223D1FBC" w:rsidR="00D46C91" w:rsidRPr="00F116BE" w:rsidRDefault="00D46C91" w:rsidP="00D46C91">
            <w:pPr>
              <w:autoSpaceDE w:val="0"/>
              <w:autoSpaceDN w:val="0"/>
              <w:adjustRightInd w:val="0"/>
              <w:jc w:val="center"/>
            </w:pPr>
            <w:r>
              <w:t>(0.05)</w:t>
            </w:r>
          </w:p>
        </w:tc>
        <w:tc>
          <w:tcPr>
            <w:tcW w:w="444" w:type="pct"/>
            <w:tcBorders>
              <w:top w:val="single" w:sz="4" w:space="0" w:color="auto"/>
              <w:left w:val="nil"/>
              <w:bottom w:val="double" w:sz="4" w:space="0" w:color="auto"/>
              <w:right w:val="nil"/>
            </w:tcBorders>
          </w:tcPr>
          <w:p w14:paraId="1DF73F9F" w14:textId="77777777" w:rsidR="00D46C91" w:rsidRDefault="00D46C91" w:rsidP="00D46C91">
            <w:pPr>
              <w:autoSpaceDE w:val="0"/>
              <w:autoSpaceDN w:val="0"/>
              <w:adjustRightInd w:val="0"/>
              <w:jc w:val="center"/>
            </w:pPr>
            <w:r>
              <w:t>0.35</w:t>
            </w:r>
          </w:p>
          <w:p w14:paraId="6BAAE9AD" w14:textId="315085D0" w:rsidR="00D46C91" w:rsidRPr="00F116BE" w:rsidRDefault="00D46C91" w:rsidP="00D46C91">
            <w:pPr>
              <w:autoSpaceDE w:val="0"/>
              <w:autoSpaceDN w:val="0"/>
              <w:adjustRightInd w:val="0"/>
              <w:jc w:val="center"/>
            </w:pPr>
            <w:r>
              <w:t>(0.04)</w:t>
            </w:r>
          </w:p>
        </w:tc>
        <w:tc>
          <w:tcPr>
            <w:tcW w:w="333" w:type="pct"/>
            <w:tcBorders>
              <w:top w:val="single" w:sz="4" w:space="0" w:color="auto"/>
              <w:left w:val="nil"/>
              <w:bottom w:val="double" w:sz="4" w:space="0" w:color="auto"/>
              <w:right w:val="nil"/>
            </w:tcBorders>
          </w:tcPr>
          <w:p w14:paraId="792A483D" w14:textId="77777777" w:rsidR="00D46C91" w:rsidRDefault="00D46C91" w:rsidP="00D46C91">
            <w:pPr>
              <w:autoSpaceDE w:val="0"/>
              <w:autoSpaceDN w:val="0"/>
              <w:adjustRightInd w:val="0"/>
              <w:jc w:val="center"/>
            </w:pPr>
            <w:r>
              <w:t>0.36</w:t>
            </w:r>
          </w:p>
          <w:p w14:paraId="16D392E1" w14:textId="66223788" w:rsidR="00D46C91" w:rsidRPr="00F116BE" w:rsidRDefault="00D46C91" w:rsidP="00D46C91">
            <w:pPr>
              <w:autoSpaceDE w:val="0"/>
              <w:autoSpaceDN w:val="0"/>
              <w:adjustRightInd w:val="0"/>
              <w:jc w:val="center"/>
            </w:pPr>
            <w:r>
              <w:t>(0.05)</w:t>
            </w:r>
          </w:p>
        </w:tc>
        <w:tc>
          <w:tcPr>
            <w:tcW w:w="369" w:type="pct"/>
            <w:tcBorders>
              <w:top w:val="single" w:sz="4" w:space="0" w:color="auto"/>
              <w:left w:val="nil"/>
              <w:bottom w:val="double" w:sz="4" w:space="0" w:color="auto"/>
              <w:right w:val="nil"/>
            </w:tcBorders>
          </w:tcPr>
          <w:p w14:paraId="49B9417C" w14:textId="77777777" w:rsidR="00D46C91" w:rsidRDefault="00D46C91" w:rsidP="00D46C91">
            <w:pPr>
              <w:autoSpaceDE w:val="0"/>
              <w:autoSpaceDN w:val="0"/>
              <w:adjustRightInd w:val="0"/>
              <w:jc w:val="center"/>
            </w:pPr>
            <w:r>
              <w:t>0.40</w:t>
            </w:r>
          </w:p>
          <w:p w14:paraId="4DB66D1F" w14:textId="63120D28" w:rsidR="00D46C91" w:rsidRPr="00F116BE" w:rsidRDefault="00D46C91" w:rsidP="00D46C91">
            <w:pPr>
              <w:autoSpaceDE w:val="0"/>
              <w:autoSpaceDN w:val="0"/>
              <w:adjustRightInd w:val="0"/>
              <w:jc w:val="center"/>
            </w:pPr>
            <w:r>
              <w:t>(0.05)</w:t>
            </w:r>
          </w:p>
        </w:tc>
        <w:tc>
          <w:tcPr>
            <w:tcW w:w="388" w:type="pct"/>
            <w:tcBorders>
              <w:top w:val="single" w:sz="4" w:space="0" w:color="auto"/>
              <w:left w:val="nil"/>
              <w:bottom w:val="double" w:sz="4" w:space="0" w:color="auto"/>
              <w:right w:val="nil"/>
            </w:tcBorders>
          </w:tcPr>
          <w:p w14:paraId="468FB2F0" w14:textId="77777777" w:rsidR="00D46C91" w:rsidRDefault="00D46C91" w:rsidP="00D46C91">
            <w:pPr>
              <w:autoSpaceDE w:val="0"/>
              <w:autoSpaceDN w:val="0"/>
              <w:adjustRightInd w:val="0"/>
              <w:jc w:val="center"/>
            </w:pPr>
            <w:r>
              <w:t>0.53</w:t>
            </w:r>
          </w:p>
          <w:p w14:paraId="6A851E9E" w14:textId="11D08140" w:rsidR="00D46C91" w:rsidRPr="00F116BE" w:rsidRDefault="00D46C91" w:rsidP="00D46C91">
            <w:pPr>
              <w:autoSpaceDE w:val="0"/>
              <w:autoSpaceDN w:val="0"/>
              <w:adjustRightInd w:val="0"/>
              <w:jc w:val="center"/>
            </w:pPr>
            <w:r>
              <w:t>(0.04)</w:t>
            </w:r>
          </w:p>
        </w:tc>
        <w:tc>
          <w:tcPr>
            <w:tcW w:w="366" w:type="pct"/>
            <w:tcBorders>
              <w:top w:val="single" w:sz="4" w:space="0" w:color="auto"/>
              <w:left w:val="nil"/>
              <w:bottom w:val="double" w:sz="4" w:space="0" w:color="auto"/>
              <w:right w:val="nil"/>
            </w:tcBorders>
          </w:tcPr>
          <w:p w14:paraId="06FB227C" w14:textId="77777777" w:rsidR="00D46C91" w:rsidRDefault="00D46C91" w:rsidP="00D46C91">
            <w:pPr>
              <w:autoSpaceDE w:val="0"/>
              <w:autoSpaceDN w:val="0"/>
              <w:adjustRightInd w:val="0"/>
              <w:jc w:val="center"/>
            </w:pPr>
            <w:r>
              <w:t>0.52</w:t>
            </w:r>
          </w:p>
          <w:p w14:paraId="0FF483DE" w14:textId="6B66A54B" w:rsidR="00D46C91" w:rsidRPr="00F116BE" w:rsidRDefault="00D46C91" w:rsidP="00D46C91">
            <w:pPr>
              <w:autoSpaceDE w:val="0"/>
              <w:autoSpaceDN w:val="0"/>
              <w:adjustRightInd w:val="0"/>
              <w:jc w:val="center"/>
            </w:pPr>
            <w:r>
              <w:t>(0.09)</w:t>
            </w:r>
          </w:p>
        </w:tc>
        <w:tc>
          <w:tcPr>
            <w:tcW w:w="369" w:type="pct"/>
            <w:tcBorders>
              <w:top w:val="single" w:sz="4" w:space="0" w:color="auto"/>
              <w:left w:val="nil"/>
              <w:bottom w:val="double" w:sz="4" w:space="0" w:color="auto"/>
              <w:right w:val="nil"/>
            </w:tcBorders>
          </w:tcPr>
          <w:p w14:paraId="5BE01B91" w14:textId="77777777" w:rsidR="00D46C91" w:rsidRDefault="00D46C91" w:rsidP="00D46C91">
            <w:pPr>
              <w:autoSpaceDE w:val="0"/>
              <w:autoSpaceDN w:val="0"/>
              <w:adjustRightInd w:val="0"/>
              <w:jc w:val="center"/>
            </w:pPr>
            <w:r>
              <w:t>0.45</w:t>
            </w:r>
          </w:p>
          <w:p w14:paraId="3273A7C7" w14:textId="3F8E641D" w:rsidR="00D46C91" w:rsidRPr="00F116BE" w:rsidRDefault="00D46C91" w:rsidP="00D46C91">
            <w:pPr>
              <w:autoSpaceDE w:val="0"/>
              <w:autoSpaceDN w:val="0"/>
              <w:adjustRightInd w:val="0"/>
              <w:jc w:val="center"/>
            </w:pPr>
            <w:r>
              <w:t>(0.09)</w:t>
            </w:r>
          </w:p>
        </w:tc>
        <w:tc>
          <w:tcPr>
            <w:tcW w:w="370" w:type="pct"/>
            <w:tcBorders>
              <w:top w:val="single" w:sz="4" w:space="0" w:color="auto"/>
              <w:left w:val="nil"/>
              <w:bottom w:val="double" w:sz="4" w:space="0" w:color="auto"/>
              <w:right w:val="nil"/>
            </w:tcBorders>
          </w:tcPr>
          <w:p w14:paraId="54A38F97" w14:textId="77777777" w:rsidR="00D46C91" w:rsidRDefault="00D46C91" w:rsidP="00D46C91">
            <w:pPr>
              <w:autoSpaceDE w:val="0"/>
              <w:autoSpaceDN w:val="0"/>
              <w:adjustRightInd w:val="0"/>
              <w:jc w:val="center"/>
            </w:pPr>
            <w:r>
              <w:t>0.45</w:t>
            </w:r>
          </w:p>
          <w:p w14:paraId="19F845C0" w14:textId="21C872A4" w:rsidR="00D46C91" w:rsidRPr="00F116BE" w:rsidRDefault="00D46C91" w:rsidP="00D46C91">
            <w:pPr>
              <w:autoSpaceDE w:val="0"/>
              <w:autoSpaceDN w:val="0"/>
              <w:adjustRightInd w:val="0"/>
              <w:jc w:val="center"/>
            </w:pPr>
            <w:r>
              <w:t>(0.06)</w:t>
            </w:r>
          </w:p>
        </w:tc>
        <w:tc>
          <w:tcPr>
            <w:tcW w:w="314" w:type="pct"/>
            <w:tcBorders>
              <w:top w:val="single" w:sz="4" w:space="0" w:color="auto"/>
              <w:left w:val="nil"/>
              <w:bottom w:val="double" w:sz="4" w:space="0" w:color="auto"/>
              <w:right w:val="nil"/>
            </w:tcBorders>
          </w:tcPr>
          <w:p w14:paraId="21E2CECD" w14:textId="77777777" w:rsidR="00D46C91" w:rsidRDefault="00D46C91" w:rsidP="00D46C91">
            <w:pPr>
              <w:autoSpaceDE w:val="0"/>
              <w:autoSpaceDN w:val="0"/>
              <w:adjustRightInd w:val="0"/>
              <w:jc w:val="center"/>
            </w:pPr>
            <w:r>
              <w:t>0.59</w:t>
            </w:r>
          </w:p>
          <w:p w14:paraId="6498A306" w14:textId="1524646B" w:rsidR="00D46C91" w:rsidRPr="00F116BE" w:rsidRDefault="00D46C91" w:rsidP="00D46C91">
            <w:pPr>
              <w:autoSpaceDE w:val="0"/>
              <w:autoSpaceDN w:val="0"/>
              <w:adjustRightInd w:val="0"/>
              <w:jc w:val="center"/>
            </w:pPr>
            <w:r>
              <w:t>(0.06)</w:t>
            </w:r>
          </w:p>
        </w:tc>
      </w:tr>
      <w:tr w:rsidR="00D46C91" w:rsidRPr="00F116BE" w14:paraId="4B3BAF2B" w14:textId="77777777" w:rsidTr="00A70FBA">
        <w:tc>
          <w:tcPr>
            <w:tcW w:w="505" w:type="pct"/>
            <w:tcBorders>
              <w:top w:val="single" w:sz="4" w:space="0" w:color="auto"/>
              <w:left w:val="nil"/>
              <w:bottom w:val="double" w:sz="4" w:space="0" w:color="auto"/>
              <w:right w:val="nil"/>
            </w:tcBorders>
          </w:tcPr>
          <w:p w14:paraId="7AE44BDE" w14:textId="4BBBF251" w:rsidR="00D46C91" w:rsidRDefault="00D46C91" w:rsidP="00D46C91">
            <w:pPr>
              <w:autoSpaceDE w:val="0"/>
              <w:autoSpaceDN w:val="0"/>
              <w:adjustRightInd w:val="0"/>
              <w:jc w:val="both"/>
            </w:pPr>
            <w:r>
              <w:t>R</w:t>
            </w:r>
            <w:r>
              <w:rPr>
                <w:vertAlign w:val="superscript"/>
              </w:rPr>
              <w:t>2</w:t>
            </w:r>
          </w:p>
        </w:tc>
        <w:tc>
          <w:tcPr>
            <w:tcW w:w="398" w:type="pct"/>
            <w:tcBorders>
              <w:top w:val="single" w:sz="4" w:space="0" w:color="auto"/>
              <w:left w:val="nil"/>
              <w:bottom w:val="double" w:sz="4" w:space="0" w:color="auto"/>
              <w:right w:val="nil"/>
            </w:tcBorders>
          </w:tcPr>
          <w:p w14:paraId="233F87F9" w14:textId="044BE446" w:rsidR="00D46C91" w:rsidRDefault="00D46C91" w:rsidP="00D46C91">
            <w:pPr>
              <w:autoSpaceDE w:val="0"/>
              <w:autoSpaceDN w:val="0"/>
              <w:adjustRightInd w:val="0"/>
              <w:jc w:val="center"/>
            </w:pPr>
            <w:r>
              <w:t>0.611</w:t>
            </w:r>
          </w:p>
        </w:tc>
        <w:tc>
          <w:tcPr>
            <w:tcW w:w="367" w:type="pct"/>
            <w:tcBorders>
              <w:top w:val="single" w:sz="4" w:space="0" w:color="auto"/>
              <w:left w:val="nil"/>
              <w:bottom w:val="double" w:sz="4" w:space="0" w:color="auto"/>
              <w:right w:val="nil"/>
            </w:tcBorders>
          </w:tcPr>
          <w:p w14:paraId="57502CE7" w14:textId="6E80F28C" w:rsidR="00D46C91" w:rsidRDefault="00D46C91" w:rsidP="00D46C91">
            <w:pPr>
              <w:autoSpaceDE w:val="0"/>
              <w:autoSpaceDN w:val="0"/>
              <w:adjustRightInd w:val="0"/>
              <w:jc w:val="center"/>
            </w:pPr>
            <w:r>
              <w:t>0.226</w:t>
            </w:r>
          </w:p>
        </w:tc>
        <w:tc>
          <w:tcPr>
            <w:tcW w:w="410" w:type="pct"/>
            <w:tcBorders>
              <w:top w:val="single" w:sz="4" w:space="0" w:color="auto"/>
              <w:left w:val="nil"/>
              <w:bottom w:val="double" w:sz="4" w:space="0" w:color="auto"/>
              <w:right w:val="nil"/>
            </w:tcBorders>
          </w:tcPr>
          <w:p w14:paraId="39D784C4" w14:textId="63E5C9A3" w:rsidR="00D46C91" w:rsidRDefault="00D46C91" w:rsidP="00D46C91">
            <w:pPr>
              <w:autoSpaceDE w:val="0"/>
              <w:autoSpaceDN w:val="0"/>
              <w:adjustRightInd w:val="0"/>
              <w:jc w:val="center"/>
            </w:pPr>
            <w:r>
              <w:t>0.393</w:t>
            </w:r>
          </w:p>
        </w:tc>
        <w:tc>
          <w:tcPr>
            <w:tcW w:w="367" w:type="pct"/>
            <w:gridSpan w:val="2"/>
            <w:tcBorders>
              <w:top w:val="single" w:sz="4" w:space="0" w:color="auto"/>
              <w:left w:val="nil"/>
              <w:bottom w:val="double" w:sz="4" w:space="0" w:color="auto"/>
              <w:right w:val="nil"/>
            </w:tcBorders>
          </w:tcPr>
          <w:p w14:paraId="1C0D2DCB" w14:textId="017557E6" w:rsidR="00D46C91" w:rsidRDefault="00D46C91" w:rsidP="00D46C91">
            <w:pPr>
              <w:autoSpaceDE w:val="0"/>
              <w:autoSpaceDN w:val="0"/>
              <w:adjustRightInd w:val="0"/>
              <w:jc w:val="center"/>
            </w:pPr>
            <w:r>
              <w:t>0.406</w:t>
            </w:r>
          </w:p>
        </w:tc>
        <w:tc>
          <w:tcPr>
            <w:tcW w:w="444" w:type="pct"/>
            <w:tcBorders>
              <w:top w:val="single" w:sz="4" w:space="0" w:color="auto"/>
              <w:left w:val="nil"/>
              <w:bottom w:val="double" w:sz="4" w:space="0" w:color="auto"/>
              <w:right w:val="nil"/>
            </w:tcBorders>
          </w:tcPr>
          <w:p w14:paraId="40A28F60" w14:textId="0DB9B254" w:rsidR="00D46C91" w:rsidRDefault="00D46C91" w:rsidP="00D46C91">
            <w:pPr>
              <w:autoSpaceDE w:val="0"/>
              <w:autoSpaceDN w:val="0"/>
              <w:adjustRightInd w:val="0"/>
              <w:jc w:val="center"/>
            </w:pPr>
            <w:r>
              <w:t>0.378</w:t>
            </w:r>
          </w:p>
        </w:tc>
        <w:tc>
          <w:tcPr>
            <w:tcW w:w="333" w:type="pct"/>
            <w:tcBorders>
              <w:top w:val="single" w:sz="4" w:space="0" w:color="auto"/>
              <w:left w:val="nil"/>
              <w:bottom w:val="double" w:sz="4" w:space="0" w:color="auto"/>
              <w:right w:val="nil"/>
            </w:tcBorders>
          </w:tcPr>
          <w:p w14:paraId="37632C6B" w14:textId="27FAF498" w:rsidR="00D46C91" w:rsidRDefault="00D46C91" w:rsidP="00D46C91">
            <w:pPr>
              <w:autoSpaceDE w:val="0"/>
              <w:autoSpaceDN w:val="0"/>
              <w:adjustRightInd w:val="0"/>
              <w:jc w:val="center"/>
            </w:pPr>
            <w:r>
              <w:t>0.329</w:t>
            </w:r>
          </w:p>
        </w:tc>
        <w:tc>
          <w:tcPr>
            <w:tcW w:w="369" w:type="pct"/>
            <w:tcBorders>
              <w:top w:val="single" w:sz="4" w:space="0" w:color="auto"/>
              <w:left w:val="nil"/>
              <w:bottom w:val="double" w:sz="4" w:space="0" w:color="auto"/>
              <w:right w:val="nil"/>
            </w:tcBorders>
          </w:tcPr>
          <w:p w14:paraId="72ABD6D7" w14:textId="61863369" w:rsidR="00D46C91" w:rsidRDefault="00D46C91" w:rsidP="00D46C91">
            <w:pPr>
              <w:autoSpaceDE w:val="0"/>
              <w:autoSpaceDN w:val="0"/>
              <w:adjustRightInd w:val="0"/>
              <w:jc w:val="center"/>
            </w:pPr>
            <w:r>
              <w:t>0.349</w:t>
            </w:r>
          </w:p>
        </w:tc>
        <w:tc>
          <w:tcPr>
            <w:tcW w:w="388" w:type="pct"/>
            <w:tcBorders>
              <w:top w:val="single" w:sz="4" w:space="0" w:color="auto"/>
              <w:left w:val="nil"/>
              <w:bottom w:val="double" w:sz="4" w:space="0" w:color="auto"/>
              <w:right w:val="nil"/>
            </w:tcBorders>
          </w:tcPr>
          <w:p w14:paraId="455DEB5E" w14:textId="746F3093" w:rsidR="00D46C91" w:rsidRDefault="00D46C91" w:rsidP="00D46C91">
            <w:pPr>
              <w:autoSpaceDE w:val="0"/>
              <w:autoSpaceDN w:val="0"/>
              <w:adjustRightInd w:val="0"/>
              <w:jc w:val="center"/>
            </w:pPr>
            <w:r>
              <w:t>0.344</w:t>
            </w:r>
          </w:p>
        </w:tc>
        <w:tc>
          <w:tcPr>
            <w:tcW w:w="366" w:type="pct"/>
            <w:tcBorders>
              <w:top w:val="single" w:sz="4" w:space="0" w:color="auto"/>
              <w:left w:val="nil"/>
              <w:bottom w:val="double" w:sz="4" w:space="0" w:color="auto"/>
              <w:right w:val="nil"/>
            </w:tcBorders>
          </w:tcPr>
          <w:p w14:paraId="3F1B5954" w14:textId="68A76F6F" w:rsidR="00D46C91" w:rsidRDefault="00D46C91" w:rsidP="00D46C91">
            <w:pPr>
              <w:autoSpaceDE w:val="0"/>
              <w:autoSpaceDN w:val="0"/>
              <w:adjustRightInd w:val="0"/>
              <w:jc w:val="center"/>
            </w:pPr>
            <w:r>
              <w:t>0.346</w:t>
            </w:r>
          </w:p>
        </w:tc>
        <w:tc>
          <w:tcPr>
            <w:tcW w:w="369" w:type="pct"/>
            <w:tcBorders>
              <w:top w:val="single" w:sz="4" w:space="0" w:color="auto"/>
              <w:left w:val="nil"/>
              <w:bottom w:val="double" w:sz="4" w:space="0" w:color="auto"/>
              <w:right w:val="nil"/>
            </w:tcBorders>
          </w:tcPr>
          <w:p w14:paraId="173EBFBD" w14:textId="7A6AF539" w:rsidR="00D46C91" w:rsidRDefault="00D46C91" w:rsidP="00D46C91">
            <w:pPr>
              <w:autoSpaceDE w:val="0"/>
              <w:autoSpaceDN w:val="0"/>
              <w:adjustRightInd w:val="0"/>
              <w:jc w:val="center"/>
            </w:pPr>
            <w:r>
              <w:t>0.237</w:t>
            </w:r>
          </w:p>
        </w:tc>
        <w:tc>
          <w:tcPr>
            <w:tcW w:w="370" w:type="pct"/>
            <w:tcBorders>
              <w:top w:val="single" w:sz="4" w:space="0" w:color="auto"/>
              <w:left w:val="nil"/>
              <w:bottom w:val="double" w:sz="4" w:space="0" w:color="auto"/>
              <w:right w:val="nil"/>
            </w:tcBorders>
          </w:tcPr>
          <w:p w14:paraId="5D4E6F6E" w14:textId="744E8E3B" w:rsidR="00D46C91" w:rsidRDefault="00D46C91" w:rsidP="00D46C91">
            <w:pPr>
              <w:autoSpaceDE w:val="0"/>
              <w:autoSpaceDN w:val="0"/>
              <w:adjustRightInd w:val="0"/>
              <w:jc w:val="center"/>
            </w:pPr>
            <w:r>
              <w:t>0.353</w:t>
            </w:r>
          </w:p>
        </w:tc>
        <w:tc>
          <w:tcPr>
            <w:tcW w:w="314" w:type="pct"/>
            <w:tcBorders>
              <w:top w:val="single" w:sz="4" w:space="0" w:color="auto"/>
              <w:left w:val="nil"/>
              <w:bottom w:val="double" w:sz="4" w:space="0" w:color="auto"/>
              <w:right w:val="nil"/>
            </w:tcBorders>
          </w:tcPr>
          <w:p w14:paraId="2515AA86" w14:textId="04B35776" w:rsidR="00D46C91" w:rsidRDefault="00D46C91" w:rsidP="00D46C91">
            <w:pPr>
              <w:autoSpaceDE w:val="0"/>
              <w:autoSpaceDN w:val="0"/>
              <w:adjustRightInd w:val="0"/>
              <w:jc w:val="center"/>
            </w:pPr>
            <w:r>
              <w:t>0.468</w:t>
            </w:r>
          </w:p>
        </w:tc>
      </w:tr>
      <w:tr w:rsidR="00D46C91" w:rsidRPr="00F116BE" w14:paraId="2707058C" w14:textId="77777777" w:rsidTr="00A70FBA">
        <w:tc>
          <w:tcPr>
            <w:tcW w:w="505" w:type="pct"/>
            <w:tcBorders>
              <w:top w:val="single" w:sz="4" w:space="0" w:color="auto"/>
              <w:left w:val="nil"/>
              <w:bottom w:val="double" w:sz="4" w:space="0" w:color="auto"/>
              <w:right w:val="nil"/>
            </w:tcBorders>
          </w:tcPr>
          <w:p w14:paraId="49DFD65C" w14:textId="536C9D61" w:rsidR="00D46C91" w:rsidRDefault="00D46C91" w:rsidP="00D46C91">
            <w:pPr>
              <w:autoSpaceDE w:val="0"/>
              <w:autoSpaceDN w:val="0"/>
              <w:adjustRightInd w:val="0"/>
              <w:jc w:val="both"/>
            </w:pPr>
            <w:r>
              <w:t>Obs.</w:t>
            </w:r>
          </w:p>
        </w:tc>
        <w:tc>
          <w:tcPr>
            <w:tcW w:w="398" w:type="pct"/>
            <w:tcBorders>
              <w:top w:val="single" w:sz="4" w:space="0" w:color="auto"/>
              <w:left w:val="nil"/>
              <w:bottom w:val="double" w:sz="4" w:space="0" w:color="auto"/>
              <w:right w:val="nil"/>
            </w:tcBorders>
          </w:tcPr>
          <w:p w14:paraId="2B2F598B" w14:textId="08DE840F" w:rsidR="00D46C91" w:rsidRDefault="00D46C91" w:rsidP="00D46C91">
            <w:pPr>
              <w:autoSpaceDE w:val="0"/>
              <w:autoSpaceDN w:val="0"/>
              <w:adjustRightInd w:val="0"/>
              <w:jc w:val="center"/>
            </w:pPr>
            <w:r w:rsidRPr="00F116BE">
              <w:t>396</w:t>
            </w:r>
          </w:p>
        </w:tc>
        <w:tc>
          <w:tcPr>
            <w:tcW w:w="367" w:type="pct"/>
            <w:tcBorders>
              <w:top w:val="single" w:sz="4" w:space="0" w:color="auto"/>
              <w:left w:val="nil"/>
              <w:bottom w:val="double" w:sz="4" w:space="0" w:color="auto"/>
              <w:right w:val="nil"/>
            </w:tcBorders>
          </w:tcPr>
          <w:p w14:paraId="528B0655" w14:textId="5B7CE38D" w:rsidR="00D46C91" w:rsidRDefault="00D46C91" w:rsidP="00D46C91">
            <w:pPr>
              <w:autoSpaceDE w:val="0"/>
              <w:autoSpaceDN w:val="0"/>
              <w:adjustRightInd w:val="0"/>
              <w:jc w:val="center"/>
            </w:pPr>
            <w:r w:rsidRPr="00F116BE">
              <w:t>396</w:t>
            </w:r>
          </w:p>
        </w:tc>
        <w:tc>
          <w:tcPr>
            <w:tcW w:w="410" w:type="pct"/>
            <w:tcBorders>
              <w:top w:val="single" w:sz="4" w:space="0" w:color="auto"/>
              <w:left w:val="nil"/>
              <w:bottom w:val="double" w:sz="4" w:space="0" w:color="auto"/>
              <w:right w:val="nil"/>
            </w:tcBorders>
          </w:tcPr>
          <w:p w14:paraId="3A7EC6BE" w14:textId="61328996" w:rsidR="00D46C91" w:rsidRDefault="00D46C91" w:rsidP="00D46C91">
            <w:pPr>
              <w:autoSpaceDE w:val="0"/>
              <w:autoSpaceDN w:val="0"/>
              <w:adjustRightInd w:val="0"/>
              <w:jc w:val="center"/>
            </w:pPr>
            <w:r w:rsidRPr="00F116BE">
              <w:t>396</w:t>
            </w:r>
          </w:p>
        </w:tc>
        <w:tc>
          <w:tcPr>
            <w:tcW w:w="367" w:type="pct"/>
            <w:gridSpan w:val="2"/>
            <w:tcBorders>
              <w:top w:val="single" w:sz="4" w:space="0" w:color="auto"/>
              <w:left w:val="nil"/>
              <w:bottom w:val="double" w:sz="4" w:space="0" w:color="auto"/>
              <w:right w:val="nil"/>
            </w:tcBorders>
          </w:tcPr>
          <w:p w14:paraId="2C9B3506" w14:textId="6AD538E0" w:rsidR="00D46C91" w:rsidRDefault="00D46C91" w:rsidP="00D46C91">
            <w:pPr>
              <w:autoSpaceDE w:val="0"/>
              <w:autoSpaceDN w:val="0"/>
              <w:adjustRightInd w:val="0"/>
              <w:jc w:val="center"/>
            </w:pPr>
            <w:r w:rsidRPr="00F116BE">
              <w:t>396</w:t>
            </w:r>
          </w:p>
        </w:tc>
        <w:tc>
          <w:tcPr>
            <w:tcW w:w="444" w:type="pct"/>
            <w:tcBorders>
              <w:top w:val="single" w:sz="4" w:space="0" w:color="auto"/>
              <w:left w:val="nil"/>
              <w:bottom w:val="double" w:sz="4" w:space="0" w:color="auto"/>
              <w:right w:val="nil"/>
            </w:tcBorders>
          </w:tcPr>
          <w:p w14:paraId="594E0464" w14:textId="10F3CD1C" w:rsidR="00D46C91" w:rsidRDefault="00D46C91" w:rsidP="00D46C91">
            <w:pPr>
              <w:autoSpaceDE w:val="0"/>
              <w:autoSpaceDN w:val="0"/>
              <w:adjustRightInd w:val="0"/>
              <w:jc w:val="center"/>
            </w:pPr>
            <w:r w:rsidRPr="00F116BE">
              <w:t>396</w:t>
            </w:r>
          </w:p>
        </w:tc>
        <w:tc>
          <w:tcPr>
            <w:tcW w:w="333" w:type="pct"/>
            <w:tcBorders>
              <w:top w:val="single" w:sz="4" w:space="0" w:color="auto"/>
              <w:left w:val="nil"/>
              <w:bottom w:val="double" w:sz="4" w:space="0" w:color="auto"/>
              <w:right w:val="nil"/>
            </w:tcBorders>
          </w:tcPr>
          <w:p w14:paraId="210B48AC" w14:textId="741055A7" w:rsidR="00D46C91" w:rsidRDefault="00D46C91" w:rsidP="00D46C91">
            <w:pPr>
              <w:autoSpaceDE w:val="0"/>
              <w:autoSpaceDN w:val="0"/>
              <w:adjustRightInd w:val="0"/>
              <w:jc w:val="center"/>
            </w:pPr>
            <w:r w:rsidRPr="00F116BE">
              <w:t>396</w:t>
            </w:r>
          </w:p>
        </w:tc>
        <w:tc>
          <w:tcPr>
            <w:tcW w:w="369" w:type="pct"/>
            <w:tcBorders>
              <w:top w:val="single" w:sz="4" w:space="0" w:color="auto"/>
              <w:left w:val="nil"/>
              <w:bottom w:val="double" w:sz="4" w:space="0" w:color="auto"/>
              <w:right w:val="nil"/>
            </w:tcBorders>
          </w:tcPr>
          <w:p w14:paraId="48EFA7E1" w14:textId="31B2E77F" w:rsidR="00D46C91" w:rsidRDefault="00D46C91" w:rsidP="00D46C91">
            <w:pPr>
              <w:autoSpaceDE w:val="0"/>
              <w:autoSpaceDN w:val="0"/>
              <w:adjustRightInd w:val="0"/>
              <w:jc w:val="center"/>
            </w:pPr>
            <w:r w:rsidRPr="00F116BE">
              <w:t>396</w:t>
            </w:r>
          </w:p>
        </w:tc>
        <w:tc>
          <w:tcPr>
            <w:tcW w:w="388" w:type="pct"/>
            <w:tcBorders>
              <w:top w:val="single" w:sz="4" w:space="0" w:color="auto"/>
              <w:left w:val="nil"/>
              <w:bottom w:val="double" w:sz="4" w:space="0" w:color="auto"/>
              <w:right w:val="nil"/>
            </w:tcBorders>
          </w:tcPr>
          <w:p w14:paraId="2D0841D3" w14:textId="3767C87B" w:rsidR="00D46C91" w:rsidRDefault="00D46C91" w:rsidP="00D46C91">
            <w:pPr>
              <w:autoSpaceDE w:val="0"/>
              <w:autoSpaceDN w:val="0"/>
              <w:adjustRightInd w:val="0"/>
              <w:jc w:val="center"/>
            </w:pPr>
            <w:r w:rsidRPr="00F116BE">
              <w:t>396</w:t>
            </w:r>
          </w:p>
        </w:tc>
        <w:tc>
          <w:tcPr>
            <w:tcW w:w="366" w:type="pct"/>
            <w:tcBorders>
              <w:top w:val="single" w:sz="4" w:space="0" w:color="auto"/>
              <w:left w:val="nil"/>
              <w:bottom w:val="double" w:sz="4" w:space="0" w:color="auto"/>
              <w:right w:val="nil"/>
            </w:tcBorders>
          </w:tcPr>
          <w:p w14:paraId="30D20263" w14:textId="2382EC41" w:rsidR="00D46C91" w:rsidRDefault="00D46C91" w:rsidP="00D46C91">
            <w:pPr>
              <w:autoSpaceDE w:val="0"/>
              <w:autoSpaceDN w:val="0"/>
              <w:adjustRightInd w:val="0"/>
              <w:jc w:val="center"/>
            </w:pPr>
            <w:r w:rsidRPr="00F116BE">
              <w:t>396</w:t>
            </w:r>
          </w:p>
        </w:tc>
        <w:tc>
          <w:tcPr>
            <w:tcW w:w="369" w:type="pct"/>
            <w:tcBorders>
              <w:top w:val="single" w:sz="4" w:space="0" w:color="auto"/>
              <w:left w:val="nil"/>
              <w:bottom w:val="double" w:sz="4" w:space="0" w:color="auto"/>
              <w:right w:val="nil"/>
            </w:tcBorders>
          </w:tcPr>
          <w:p w14:paraId="03B2556D" w14:textId="70AE3DB8" w:rsidR="00D46C91" w:rsidRDefault="00D46C91" w:rsidP="00D46C91">
            <w:pPr>
              <w:autoSpaceDE w:val="0"/>
              <w:autoSpaceDN w:val="0"/>
              <w:adjustRightInd w:val="0"/>
              <w:jc w:val="center"/>
            </w:pPr>
            <w:r w:rsidRPr="00F116BE">
              <w:t>396</w:t>
            </w:r>
          </w:p>
        </w:tc>
        <w:tc>
          <w:tcPr>
            <w:tcW w:w="370" w:type="pct"/>
            <w:tcBorders>
              <w:top w:val="single" w:sz="4" w:space="0" w:color="auto"/>
              <w:left w:val="nil"/>
              <w:bottom w:val="double" w:sz="4" w:space="0" w:color="auto"/>
              <w:right w:val="nil"/>
            </w:tcBorders>
          </w:tcPr>
          <w:p w14:paraId="6B83F8AF" w14:textId="6782C051" w:rsidR="00D46C91" w:rsidRDefault="00D46C91" w:rsidP="00D46C91">
            <w:pPr>
              <w:autoSpaceDE w:val="0"/>
              <w:autoSpaceDN w:val="0"/>
              <w:adjustRightInd w:val="0"/>
              <w:jc w:val="center"/>
            </w:pPr>
            <w:r w:rsidRPr="00F116BE">
              <w:t>396</w:t>
            </w:r>
          </w:p>
        </w:tc>
        <w:tc>
          <w:tcPr>
            <w:tcW w:w="314" w:type="pct"/>
            <w:tcBorders>
              <w:top w:val="single" w:sz="4" w:space="0" w:color="auto"/>
              <w:left w:val="nil"/>
              <w:bottom w:val="double" w:sz="4" w:space="0" w:color="auto"/>
              <w:right w:val="nil"/>
            </w:tcBorders>
          </w:tcPr>
          <w:p w14:paraId="40E8335B" w14:textId="1E18C2A9" w:rsidR="00D46C91" w:rsidRDefault="00D46C91" w:rsidP="00D46C91">
            <w:pPr>
              <w:autoSpaceDE w:val="0"/>
              <w:autoSpaceDN w:val="0"/>
              <w:adjustRightInd w:val="0"/>
              <w:jc w:val="center"/>
            </w:pPr>
            <w:r w:rsidRPr="00F116BE">
              <w:t>396</w:t>
            </w:r>
          </w:p>
        </w:tc>
      </w:tr>
    </w:tbl>
    <w:p w14:paraId="46DC902E" w14:textId="77777777" w:rsidR="007561A4" w:rsidRDefault="007561A4" w:rsidP="007561A4">
      <w:pPr>
        <w:autoSpaceDE w:val="0"/>
        <w:autoSpaceDN w:val="0"/>
        <w:adjustRightInd w:val="0"/>
        <w:jc w:val="both"/>
        <w:rPr>
          <w:b/>
        </w:rPr>
      </w:pPr>
    </w:p>
    <w:p w14:paraId="2A0B785B" w14:textId="4AF9F648" w:rsidR="007561A4" w:rsidRPr="00EC3765" w:rsidRDefault="007561A4" w:rsidP="0077598E">
      <w:pPr>
        <w:autoSpaceDE w:val="0"/>
        <w:autoSpaceDN w:val="0"/>
        <w:adjustRightInd w:val="0"/>
        <w:jc w:val="both"/>
        <w:sectPr w:rsidR="007561A4" w:rsidRPr="00EC3765" w:rsidSect="00EC3765">
          <w:pgSz w:w="15840" w:h="12240" w:orient="landscape"/>
          <w:pgMar w:top="1440" w:right="1296" w:bottom="1440" w:left="1440" w:header="720" w:footer="720" w:gutter="0"/>
          <w:cols w:space="720"/>
          <w:docGrid w:linePitch="360"/>
        </w:sectPr>
      </w:pPr>
      <w:r w:rsidRPr="00733E0A">
        <w:rPr>
          <w:b/>
        </w:rPr>
        <w:t>Notes</w:t>
      </w:r>
      <w:r w:rsidRPr="00F116BE">
        <w:t xml:space="preserve">: </w:t>
      </w:r>
      <w:r>
        <w:t xml:space="preserve">All series are at the monthly level. </w:t>
      </w:r>
      <w:r w:rsidRPr="0000185D">
        <w:rPr>
          <w:rFonts w:eastAsiaTheme="minorEastAsia"/>
        </w:rPr>
        <w:t>EMV is the Equity Markets Volatility Index</w:t>
      </w:r>
      <w:r>
        <w:rPr>
          <w:rFonts w:eastAsiaTheme="minorEastAsia"/>
        </w:rPr>
        <w:t xml:space="preserve">. The dependent variable is always the VIX where </w:t>
      </w:r>
      <w:r w:rsidRPr="0000185D">
        <w:rPr>
          <w:rFonts w:eastAsiaTheme="minorEastAsia"/>
        </w:rPr>
        <w:t>VIX refers to the monthly average of daily close of the VIX implied volatility index on the S&amp;P500</w:t>
      </w:r>
      <w:r>
        <w:rPr>
          <w:rFonts w:eastAsiaTheme="minorEastAsia"/>
        </w:rPr>
        <w:t>.</w:t>
      </w:r>
      <w:r w:rsidRPr="00F116BE">
        <w:t xml:space="preserve"> </w:t>
      </w:r>
      <w:r>
        <w:t>Columns (2)-(12) of Panel A correspond</w:t>
      </w:r>
      <w:r w:rsidRPr="00F116BE">
        <w:t xml:space="preserve"> to </w:t>
      </w:r>
      <w:r>
        <w:t>a different version of our</w:t>
      </w:r>
      <w:r w:rsidRPr="00F116BE">
        <w:t xml:space="preserve"> EMV Index</w:t>
      </w:r>
      <w:r>
        <w:t xml:space="preserve"> as the independent variable where the version is constructed such that </w:t>
      </w:r>
      <w:r w:rsidRPr="00F116BE">
        <w:t>t</w:t>
      </w:r>
      <w:r>
        <w:t>he column title newspaper has</w:t>
      </w:r>
      <w:r w:rsidRPr="00F116BE">
        <w:t xml:space="preserve"> twice the weight as the other newspapers.</w:t>
      </w:r>
      <w:r>
        <w:t xml:space="preserve"> Columns (2)-(12) of Panel B correspond</w:t>
      </w:r>
      <w:r w:rsidRPr="00F116BE">
        <w:t xml:space="preserve"> to </w:t>
      </w:r>
      <w:r>
        <w:t>a different version of our</w:t>
      </w:r>
      <w:r w:rsidRPr="00F116BE">
        <w:t xml:space="preserve"> EMV Index</w:t>
      </w:r>
      <w:r>
        <w:t xml:space="preserve"> as the independent variable where the version is constructed such that </w:t>
      </w:r>
      <w:r w:rsidRPr="00F116BE">
        <w:t>t</w:t>
      </w:r>
      <w:r>
        <w:t xml:space="preserve">he column title newspaper has been removed from the index. </w:t>
      </w:r>
      <w:r w:rsidRPr="00F116BE">
        <w:t>Robust standard errors in parentheses.</w:t>
      </w:r>
      <w:r>
        <w:t xml:space="preserve"> The slope coefficient is statistically significant at the 1% level in all regressions.</w:t>
      </w:r>
    </w:p>
    <w:p w14:paraId="32EA6120" w14:textId="77777777" w:rsidR="002116C9" w:rsidRPr="002E6B9A" w:rsidRDefault="002116C9" w:rsidP="00C2646E">
      <w:pPr>
        <w:contextualSpacing/>
        <w:jc w:val="both"/>
        <w:rPr>
          <w:rFonts w:eastAsiaTheme="minorEastAsia"/>
        </w:rPr>
      </w:pPr>
    </w:p>
    <w:sectPr w:rsidR="002116C9" w:rsidRPr="002E6B9A" w:rsidSect="00D31B2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6D400" w14:textId="77777777" w:rsidR="00EA34AD" w:rsidRDefault="00EA34AD" w:rsidP="00C0136E">
      <w:r>
        <w:separator/>
      </w:r>
    </w:p>
  </w:endnote>
  <w:endnote w:type="continuationSeparator" w:id="0">
    <w:p w14:paraId="3B694114" w14:textId="77777777" w:rsidR="00EA34AD" w:rsidRDefault="00EA34AD" w:rsidP="00C01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5911725"/>
      <w:docPartObj>
        <w:docPartGallery w:val="Page Numbers (Bottom of Page)"/>
        <w:docPartUnique/>
      </w:docPartObj>
    </w:sdtPr>
    <w:sdtEndPr>
      <w:rPr>
        <w:rStyle w:val="PageNumber"/>
      </w:rPr>
    </w:sdtEndPr>
    <w:sdtContent>
      <w:p w14:paraId="15EB853C" w14:textId="7F68E5EC" w:rsidR="00DD5AEF" w:rsidRDefault="00DD5AEF" w:rsidP="00961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5EEE5F" w14:textId="77777777" w:rsidR="00DD5AEF" w:rsidRDefault="00DD5AEF" w:rsidP="007759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5029880"/>
      <w:docPartObj>
        <w:docPartGallery w:val="Page Numbers (Bottom of Page)"/>
        <w:docPartUnique/>
      </w:docPartObj>
    </w:sdtPr>
    <w:sdtEndPr>
      <w:rPr>
        <w:rStyle w:val="PageNumber"/>
      </w:rPr>
    </w:sdtEndPr>
    <w:sdtContent>
      <w:p w14:paraId="7810ED33" w14:textId="59F8C66D" w:rsidR="00DD5AEF" w:rsidRDefault="00DD5AEF" w:rsidP="00961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959012" w14:textId="4EEBA58D" w:rsidR="00DD5AEF" w:rsidRDefault="00DD5AEF" w:rsidP="0077598E">
    <w:pPr>
      <w:pStyle w:val="Footer"/>
      <w:ind w:right="360"/>
      <w:jc w:val="center"/>
    </w:pPr>
  </w:p>
  <w:p w14:paraId="73C4C932" w14:textId="77777777" w:rsidR="00DD5AEF" w:rsidRDefault="00DD5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AFFD0" w14:textId="77777777" w:rsidR="00EA34AD" w:rsidRDefault="00EA34AD" w:rsidP="00C0136E">
      <w:r>
        <w:separator/>
      </w:r>
    </w:p>
  </w:footnote>
  <w:footnote w:type="continuationSeparator" w:id="0">
    <w:p w14:paraId="1560D701" w14:textId="77777777" w:rsidR="00EA34AD" w:rsidRDefault="00EA34AD" w:rsidP="00C01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49F7"/>
    <w:multiLevelType w:val="hybridMultilevel"/>
    <w:tmpl w:val="F2B829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61A94"/>
    <w:multiLevelType w:val="hybridMultilevel"/>
    <w:tmpl w:val="E694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A0F80"/>
    <w:multiLevelType w:val="multilevel"/>
    <w:tmpl w:val="743CAA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6C01E78"/>
    <w:multiLevelType w:val="hybridMultilevel"/>
    <w:tmpl w:val="1AA6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4010D"/>
    <w:multiLevelType w:val="hybridMultilevel"/>
    <w:tmpl w:val="7A708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33E45"/>
    <w:multiLevelType w:val="hybridMultilevel"/>
    <w:tmpl w:val="9228A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746BF"/>
    <w:multiLevelType w:val="multilevel"/>
    <w:tmpl w:val="6584E65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0FA7240"/>
    <w:multiLevelType w:val="hybridMultilevel"/>
    <w:tmpl w:val="DAD6C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C32EF5"/>
    <w:multiLevelType w:val="hybridMultilevel"/>
    <w:tmpl w:val="765C420A"/>
    <w:lvl w:ilvl="0" w:tplc="07F4892C">
      <w:start w:val="2"/>
      <w:numFmt w:val="decimal"/>
      <w:lvlText w:val="%1."/>
      <w:lvlJc w:val="left"/>
      <w:pPr>
        <w:tabs>
          <w:tab w:val="num" w:pos="720"/>
        </w:tabs>
        <w:ind w:left="720" w:hanging="360"/>
      </w:pPr>
    </w:lvl>
    <w:lvl w:ilvl="1" w:tplc="D096CA1A" w:tentative="1">
      <w:start w:val="1"/>
      <w:numFmt w:val="decimal"/>
      <w:lvlText w:val="%2."/>
      <w:lvlJc w:val="left"/>
      <w:pPr>
        <w:tabs>
          <w:tab w:val="num" w:pos="1440"/>
        </w:tabs>
        <w:ind w:left="1440" w:hanging="360"/>
      </w:pPr>
    </w:lvl>
    <w:lvl w:ilvl="2" w:tplc="F900386A" w:tentative="1">
      <w:start w:val="1"/>
      <w:numFmt w:val="decimal"/>
      <w:lvlText w:val="%3."/>
      <w:lvlJc w:val="left"/>
      <w:pPr>
        <w:tabs>
          <w:tab w:val="num" w:pos="2160"/>
        </w:tabs>
        <w:ind w:left="2160" w:hanging="360"/>
      </w:pPr>
    </w:lvl>
    <w:lvl w:ilvl="3" w:tplc="C75ED914" w:tentative="1">
      <w:start w:val="1"/>
      <w:numFmt w:val="decimal"/>
      <w:lvlText w:val="%4."/>
      <w:lvlJc w:val="left"/>
      <w:pPr>
        <w:tabs>
          <w:tab w:val="num" w:pos="2880"/>
        </w:tabs>
        <w:ind w:left="2880" w:hanging="360"/>
      </w:pPr>
    </w:lvl>
    <w:lvl w:ilvl="4" w:tplc="79E83B7E" w:tentative="1">
      <w:start w:val="1"/>
      <w:numFmt w:val="decimal"/>
      <w:lvlText w:val="%5."/>
      <w:lvlJc w:val="left"/>
      <w:pPr>
        <w:tabs>
          <w:tab w:val="num" w:pos="3600"/>
        </w:tabs>
        <w:ind w:left="3600" w:hanging="360"/>
      </w:pPr>
    </w:lvl>
    <w:lvl w:ilvl="5" w:tplc="DC78A716" w:tentative="1">
      <w:start w:val="1"/>
      <w:numFmt w:val="decimal"/>
      <w:lvlText w:val="%6."/>
      <w:lvlJc w:val="left"/>
      <w:pPr>
        <w:tabs>
          <w:tab w:val="num" w:pos="4320"/>
        </w:tabs>
        <w:ind w:left="4320" w:hanging="360"/>
      </w:pPr>
    </w:lvl>
    <w:lvl w:ilvl="6" w:tplc="718EE83A" w:tentative="1">
      <w:start w:val="1"/>
      <w:numFmt w:val="decimal"/>
      <w:lvlText w:val="%7."/>
      <w:lvlJc w:val="left"/>
      <w:pPr>
        <w:tabs>
          <w:tab w:val="num" w:pos="5040"/>
        </w:tabs>
        <w:ind w:left="5040" w:hanging="360"/>
      </w:pPr>
    </w:lvl>
    <w:lvl w:ilvl="7" w:tplc="AACE2C74" w:tentative="1">
      <w:start w:val="1"/>
      <w:numFmt w:val="decimal"/>
      <w:lvlText w:val="%8."/>
      <w:lvlJc w:val="left"/>
      <w:pPr>
        <w:tabs>
          <w:tab w:val="num" w:pos="5760"/>
        </w:tabs>
        <w:ind w:left="5760" w:hanging="360"/>
      </w:pPr>
    </w:lvl>
    <w:lvl w:ilvl="8" w:tplc="BF78EC94" w:tentative="1">
      <w:start w:val="1"/>
      <w:numFmt w:val="decimal"/>
      <w:lvlText w:val="%9."/>
      <w:lvlJc w:val="left"/>
      <w:pPr>
        <w:tabs>
          <w:tab w:val="num" w:pos="6480"/>
        </w:tabs>
        <w:ind w:left="6480" w:hanging="360"/>
      </w:pPr>
    </w:lvl>
  </w:abstractNum>
  <w:abstractNum w:abstractNumId="9" w15:restartNumberingAfterBreak="0">
    <w:nsid w:val="19516578"/>
    <w:multiLevelType w:val="hybridMultilevel"/>
    <w:tmpl w:val="C2C4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D1404"/>
    <w:multiLevelType w:val="hybridMultilevel"/>
    <w:tmpl w:val="B7F822FE"/>
    <w:lvl w:ilvl="0" w:tplc="CFD229E6">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7036E1"/>
    <w:multiLevelType w:val="hybridMultilevel"/>
    <w:tmpl w:val="426A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548DA"/>
    <w:multiLevelType w:val="multilevel"/>
    <w:tmpl w:val="6584E65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754001F"/>
    <w:multiLevelType w:val="hybridMultilevel"/>
    <w:tmpl w:val="4B34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7467D"/>
    <w:multiLevelType w:val="multilevel"/>
    <w:tmpl w:val="6584E65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577FFB"/>
    <w:multiLevelType w:val="hybridMultilevel"/>
    <w:tmpl w:val="1750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820697"/>
    <w:multiLevelType w:val="hybridMultilevel"/>
    <w:tmpl w:val="52A60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B44F2"/>
    <w:multiLevelType w:val="hybridMultilevel"/>
    <w:tmpl w:val="0D5CD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8001C"/>
    <w:multiLevelType w:val="hybridMultilevel"/>
    <w:tmpl w:val="4B34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B1012"/>
    <w:multiLevelType w:val="hybridMultilevel"/>
    <w:tmpl w:val="3E769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CF1ACB"/>
    <w:multiLevelType w:val="multilevel"/>
    <w:tmpl w:val="1AA6B0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8E73BD8"/>
    <w:multiLevelType w:val="multilevel"/>
    <w:tmpl w:val="6584E65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C0D0101"/>
    <w:multiLevelType w:val="hybridMultilevel"/>
    <w:tmpl w:val="288AB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592534"/>
    <w:multiLevelType w:val="multilevel"/>
    <w:tmpl w:val="6584E65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64D4035"/>
    <w:multiLevelType w:val="hybridMultilevel"/>
    <w:tmpl w:val="F7D8A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A313B7"/>
    <w:multiLevelType w:val="hybridMultilevel"/>
    <w:tmpl w:val="8AE62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ED547D"/>
    <w:multiLevelType w:val="hybridMultilevel"/>
    <w:tmpl w:val="CF4C3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D4D59"/>
    <w:multiLevelType w:val="hybridMultilevel"/>
    <w:tmpl w:val="2878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8C6D8A"/>
    <w:multiLevelType w:val="hybridMultilevel"/>
    <w:tmpl w:val="572225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527B1E"/>
    <w:multiLevelType w:val="hybridMultilevel"/>
    <w:tmpl w:val="4B34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3195B"/>
    <w:multiLevelType w:val="hybridMultilevel"/>
    <w:tmpl w:val="F2A2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7057D"/>
    <w:multiLevelType w:val="multilevel"/>
    <w:tmpl w:val="6584E65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84F65CC"/>
    <w:multiLevelType w:val="hybridMultilevel"/>
    <w:tmpl w:val="825688AC"/>
    <w:lvl w:ilvl="0" w:tplc="CB74A7B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F25F1"/>
    <w:multiLevelType w:val="multilevel"/>
    <w:tmpl w:val="7E7A9A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1022DA4"/>
    <w:multiLevelType w:val="hybridMultilevel"/>
    <w:tmpl w:val="63DC4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F94593"/>
    <w:multiLevelType w:val="hybridMultilevel"/>
    <w:tmpl w:val="D228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44161"/>
    <w:multiLevelType w:val="hybridMultilevel"/>
    <w:tmpl w:val="04D0E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131D1"/>
    <w:multiLevelType w:val="hybridMultilevel"/>
    <w:tmpl w:val="734C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33"/>
  </w:num>
  <w:num w:numId="4">
    <w:abstractNumId w:val="26"/>
  </w:num>
  <w:num w:numId="5">
    <w:abstractNumId w:val="25"/>
  </w:num>
  <w:num w:numId="6">
    <w:abstractNumId w:val="2"/>
  </w:num>
  <w:num w:numId="7">
    <w:abstractNumId w:val="9"/>
  </w:num>
  <w:num w:numId="8">
    <w:abstractNumId w:val="6"/>
  </w:num>
  <w:num w:numId="9">
    <w:abstractNumId w:val="17"/>
  </w:num>
  <w:num w:numId="10">
    <w:abstractNumId w:val="24"/>
  </w:num>
  <w:num w:numId="11">
    <w:abstractNumId w:val="30"/>
  </w:num>
  <w:num w:numId="12">
    <w:abstractNumId w:val="34"/>
  </w:num>
  <w:num w:numId="13">
    <w:abstractNumId w:val="3"/>
  </w:num>
  <w:num w:numId="14">
    <w:abstractNumId w:val="11"/>
  </w:num>
  <w:num w:numId="15">
    <w:abstractNumId w:val="28"/>
  </w:num>
  <w:num w:numId="16">
    <w:abstractNumId w:val="32"/>
  </w:num>
  <w:num w:numId="17">
    <w:abstractNumId w:val="37"/>
  </w:num>
  <w:num w:numId="18">
    <w:abstractNumId w:val="1"/>
  </w:num>
  <w:num w:numId="19">
    <w:abstractNumId w:val="29"/>
  </w:num>
  <w:num w:numId="20">
    <w:abstractNumId w:val="7"/>
  </w:num>
  <w:num w:numId="21">
    <w:abstractNumId w:val="35"/>
  </w:num>
  <w:num w:numId="22">
    <w:abstractNumId w:val="5"/>
  </w:num>
  <w:num w:numId="23">
    <w:abstractNumId w:val="19"/>
  </w:num>
  <w:num w:numId="24">
    <w:abstractNumId w:val="15"/>
  </w:num>
  <w:num w:numId="25">
    <w:abstractNumId w:val="21"/>
  </w:num>
  <w:num w:numId="26">
    <w:abstractNumId w:val="18"/>
  </w:num>
  <w:num w:numId="27">
    <w:abstractNumId w:val="13"/>
  </w:num>
  <w:num w:numId="28">
    <w:abstractNumId w:val="23"/>
  </w:num>
  <w:num w:numId="29">
    <w:abstractNumId w:val="27"/>
  </w:num>
  <w:num w:numId="30">
    <w:abstractNumId w:val="10"/>
  </w:num>
  <w:num w:numId="31">
    <w:abstractNumId w:val="8"/>
  </w:num>
  <w:num w:numId="32">
    <w:abstractNumId w:val="20"/>
  </w:num>
  <w:num w:numId="33">
    <w:abstractNumId w:val="31"/>
  </w:num>
  <w:num w:numId="34">
    <w:abstractNumId w:val="12"/>
  </w:num>
  <w:num w:numId="35">
    <w:abstractNumId w:val="14"/>
  </w:num>
  <w:num w:numId="36">
    <w:abstractNumId w:val="0"/>
  </w:num>
  <w:num w:numId="37">
    <w:abstractNumId w:val="36"/>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26"/>
    <w:rsid w:val="00000CF3"/>
    <w:rsid w:val="00002BF6"/>
    <w:rsid w:val="00002C61"/>
    <w:rsid w:val="00004B40"/>
    <w:rsid w:val="00004B9E"/>
    <w:rsid w:val="000053E2"/>
    <w:rsid w:val="000059CE"/>
    <w:rsid w:val="00005BAD"/>
    <w:rsid w:val="00005D02"/>
    <w:rsid w:val="00006444"/>
    <w:rsid w:val="0001329F"/>
    <w:rsid w:val="00016BDE"/>
    <w:rsid w:val="0002046B"/>
    <w:rsid w:val="00020D18"/>
    <w:rsid w:val="0002192F"/>
    <w:rsid w:val="00021C2C"/>
    <w:rsid w:val="00021F76"/>
    <w:rsid w:val="00022449"/>
    <w:rsid w:val="0002254A"/>
    <w:rsid w:val="000235D7"/>
    <w:rsid w:val="00025B8F"/>
    <w:rsid w:val="00026A80"/>
    <w:rsid w:val="00026BDA"/>
    <w:rsid w:val="00027242"/>
    <w:rsid w:val="000304D5"/>
    <w:rsid w:val="000308D7"/>
    <w:rsid w:val="00032963"/>
    <w:rsid w:val="00032984"/>
    <w:rsid w:val="00032B91"/>
    <w:rsid w:val="00032E34"/>
    <w:rsid w:val="00036218"/>
    <w:rsid w:val="00036825"/>
    <w:rsid w:val="000408C5"/>
    <w:rsid w:val="00041E65"/>
    <w:rsid w:val="00041F9A"/>
    <w:rsid w:val="00043A26"/>
    <w:rsid w:val="00044495"/>
    <w:rsid w:val="000450C9"/>
    <w:rsid w:val="00046921"/>
    <w:rsid w:val="00047C14"/>
    <w:rsid w:val="00051698"/>
    <w:rsid w:val="00051785"/>
    <w:rsid w:val="0005210D"/>
    <w:rsid w:val="0005226D"/>
    <w:rsid w:val="000528E7"/>
    <w:rsid w:val="00052F07"/>
    <w:rsid w:val="00055E2E"/>
    <w:rsid w:val="000560B4"/>
    <w:rsid w:val="00060BBC"/>
    <w:rsid w:val="0006111E"/>
    <w:rsid w:val="00061A83"/>
    <w:rsid w:val="00062AA2"/>
    <w:rsid w:val="00063214"/>
    <w:rsid w:val="0006365B"/>
    <w:rsid w:val="00064D33"/>
    <w:rsid w:val="000671A4"/>
    <w:rsid w:val="00067BC4"/>
    <w:rsid w:val="00071037"/>
    <w:rsid w:val="00071685"/>
    <w:rsid w:val="00071ACE"/>
    <w:rsid w:val="000722B8"/>
    <w:rsid w:val="00073614"/>
    <w:rsid w:val="00074B2B"/>
    <w:rsid w:val="000754AB"/>
    <w:rsid w:val="00075A23"/>
    <w:rsid w:val="00077338"/>
    <w:rsid w:val="00077C99"/>
    <w:rsid w:val="0008128B"/>
    <w:rsid w:val="00081523"/>
    <w:rsid w:val="00081E0C"/>
    <w:rsid w:val="0008321B"/>
    <w:rsid w:val="00083FEF"/>
    <w:rsid w:val="00086D17"/>
    <w:rsid w:val="000906FB"/>
    <w:rsid w:val="00091F44"/>
    <w:rsid w:val="00092CAE"/>
    <w:rsid w:val="00092E30"/>
    <w:rsid w:val="00093217"/>
    <w:rsid w:val="0009333D"/>
    <w:rsid w:val="00093C09"/>
    <w:rsid w:val="00093F68"/>
    <w:rsid w:val="00094530"/>
    <w:rsid w:val="0009661E"/>
    <w:rsid w:val="000966CE"/>
    <w:rsid w:val="000A198D"/>
    <w:rsid w:val="000A2399"/>
    <w:rsid w:val="000A2CC4"/>
    <w:rsid w:val="000A3B85"/>
    <w:rsid w:val="000A4AE4"/>
    <w:rsid w:val="000A4C42"/>
    <w:rsid w:val="000A5593"/>
    <w:rsid w:val="000A7C60"/>
    <w:rsid w:val="000B2CD4"/>
    <w:rsid w:val="000B3309"/>
    <w:rsid w:val="000B349E"/>
    <w:rsid w:val="000B5463"/>
    <w:rsid w:val="000B58E3"/>
    <w:rsid w:val="000B6F2A"/>
    <w:rsid w:val="000B76DC"/>
    <w:rsid w:val="000C04CC"/>
    <w:rsid w:val="000C069C"/>
    <w:rsid w:val="000C2D83"/>
    <w:rsid w:val="000C39FA"/>
    <w:rsid w:val="000C438B"/>
    <w:rsid w:val="000C5784"/>
    <w:rsid w:val="000C5C47"/>
    <w:rsid w:val="000C6662"/>
    <w:rsid w:val="000C69F2"/>
    <w:rsid w:val="000D1EE2"/>
    <w:rsid w:val="000D2524"/>
    <w:rsid w:val="000D2FE3"/>
    <w:rsid w:val="000D4429"/>
    <w:rsid w:val="000D5367"/>
    <w:rsid w:val="000D7105"/>
    <w:rsid w:val="000D7506"/>
    <w:rsid w:val="000F1A69"/>
    <w:rsid w:val="000F2CCE"/>
    <w:rsid w:val="000F3056"/>
    <w:rsid w:val="001012FB"/>
    <w:rsid w:val="001018D6"/>
    <w:rsid w:val="00102726"/>
    <w:rsid w:val="00106A54"/>
    <w:rsid w:val="0011018F"/>
    <w:rsid w:val="00111F73"/>
    <w:rsid w:val="00112487"/>
    <w:rsid w:val="00112965"/>
    <w:rsid w:val="00113DDC"/>
    <w:rsid w:val="00114186"/>
    <w:rsid w:val="00116B90"/>
    <w:rsid w:val="00121E1A"/>
    <w:rsid w:val="001226E2"/>
    <w:rsid w:val="00124B4A"/>
    <w:rsid w:val="001258A6"/>
    <w:rsid w:val="00125AD8"/>
    <w:rsid w:val="001273C1"/>
    <w:rsid w:val="0013079C"/>
    <w:rsid w:val="00131AA4"/>
    <w:rsid w:val="0013235C"/>
    <w:rsid w:val="00132BF8"/>
    <w:rsid w:val="00133464"/>
    <w:rsid w:val="00135D09"/>
    <w:rsid w:val="00135F5C"/>
    <w:rsid w:val="001376C0"/>
    <w:rsid w:val="001413B3"/>
    <w:rsid w:val="00142DE5"/>
    <w:rsid w:val="00145D4A"/>
    <w:rsid w:val="00145DB7"/>
    <w:rsid w:val="00145FCE"/>
    <w:rsid w:val="00146186"/>
    <w:rsid w:val="00146545"/>
    <w:rsid w:val="001508FC"/>
    <w:rsid w:val="00150EED"/>
    <w:rsid w:val="00151E27"/>
    <w:rsid w:val="00152CB5"/>
    <w:rsid w:val="00154CAD"/>
    <w:rsid w:val="00154F9F"/>
    <w:rsid w:val="00156594"/>
    <w:rsid w:val="001566A8"/>
    <w:rsid w:val="00164F4C"/>
    <w:rsid w:val="00165963"/>
    <w:rsid w:val="00166CBF"/>
    <w:rsid w:val="0016775F"/>
    <w:rsid w:val="001707E6"/>
    <w:rsid w:val="00171549"/>
    <w:rsid w:val="00181924"/>
    <w:rsid w:val="001853C0"/>
    <w:rsid w:val="00187437"/>
    <w:rsid w:val="0018762A"/>
    <w:rsid w:val="001924B9"/>
    <w:rsid w:val="00192EA9"/>
    <w:rsid w:val="00193E81"/>
    <w:rsid w:val="001942C6"/>
    <w:rsid w:val="00197364"/>
    <w:rsid w:val="001A1171"/>
    <w:rsid w:val="001A2777"/>
    <w:rsid w:val="001A4979"/>
    <w:rsid w:val="001A59EC"/>
    <w:rsid w:val="001A6ECF"/>
    <w:rsid w:val="001A7AD8"/>
    <w:rsid w:val="001B03C2"/>
    <w:rsid w:val="001B3DEC"/>
    <w:rsid w:val="001B411D"/>
    <w:rsid w:val="001B4694"/>
    <w:rsid w:val="001B516C"/>
    <w:rsid w:val="001B55E5"/>
    <w:rsid w:val="001B69A9"/>
    <w:rsid w:val="001B6B21"/>
    <w:rsid w:val="001B7D6C"/>
    <w:rsid w:val="001C0620"/>
    <w:rsid w:val="001C59C5"/>
    <w:rsid w:val="001C5A20"/>
    <w:rsid w:val="001C6764"/>
    <w:rsid w:val="001C676C"/>
    <w:rsid w:val="001C6D65"/>
    <w:rsid w:val="001D150D"/>
    <w:rsid w:val="001D154E"/>
    <w:rsid w:val="001D1868"/>
    <w:rsid w:val="001D1C8A"/>
    <w:rsid w:val="001D3036"/>
    <w:rsid w:val="001D3A01"/>
    <w:rsid w:val="001D3D3D"/>
    <w:rsid w:val="001D6A20"/>
    <w:rsid w:val="001D7F7D"/>
    <w:rsid w:val="001E08D1"/>
    <w:rsid w:val="001E1A1B"/>
    <w:rsid w:val="001E3F9C"/>
    <w:rsid w:val="001E40AF"/>
    <w:rsid w:val="001F0103"/>
    <w:rsid w:val="001F0DAC"/>
    <w:rsid w:val="001F0F8E"/>
    <w:rsid w:val="001F0FF5"/>
    <w:rsid w:val="001F26FB"/>
    <w:rsid w:val="001F340B"/>
    <w:rsid w:val="001F361D"/>
    <w:rsid w:val="001F378A"/>
    <w:rsid w:val="001F4ABB"/>
    <w:rsid w:val="001F6239"/>
    <w:rsid w:val="001F746C"/>
    <w:rsid w:val="00200A3E"/>
    <w:rsid w:val="00200A7E"/>
    <w:rsid w:val="00202948"/>
    <w:rsid w:val="0020638C"/>
    <w:rsid w:val="00207029"/>
    <w:rsid w:val="00207BCF"/>
    <w:rsid w:val="00210D87"/>
    <w:rsid w:val="00210EB2"/>
    <w:rsid w:val="002116C9"/>
    <w:rsid w:val="00212505"/>
    <w:rsid w:val="00213081"/>
    <w:rsid w:val="0021613B"/>
    <w:rsid w:val="00217C3A"/>
    <w:rsid w:val="00217F53"/>
    <w:rsid w:val="0022217C"/>
    <w:rsid w:val="002259BE"/>
    <w:rsid w:val="00227273"/>
    <w:rsid w:val="002273DB"/>
    <w:rsid w:val="0022742F"/>
    <w:rsid w:val="00230059"/>
    <w:rsid w:val="0023181C"/>
    <w:rsid w:val="002318B2"/>
    <w:rsid w:val="00231C19"/>
    <w:rsid w:val="00232A94"/>
    <w:rsid w:val="0023473E"/>
    <w:rsid w:val="00235C15"/>
    <w:rsid w:val="00236DEB"/>
    <w:rsid w:val="002372FD"/>
    <w:rsid w:val="00240397"/>
    <w:rsid w:val="00240B44"/>
    <w:rsid w:val="002425E1"/>
    <w:rsid w:val="002529A5"/>
    <w:rsid w:val="00254E17"/>
    <w:rsid w:val="002568C4"/>
    <w:rsid w:val="00257952"/>
    <w:rsid w:val="00257F46"/>
    <w:rsid w:val="00260509"/>
    <w:rsid w:val="00260C14"/>
    <w:rsid w:val="002619FB"/>
    <w:rsid w:val="002627BA"/>
    <w:rsid w:val="002651D5"/>
    <w:rsid w:val="002654B7"/>
    <w:rsid w:val="002666E2"/>
    <w:rsid w:val="00270370"/>
    <w:rsid w:val="002704AA"/>
    <w:rsid w:val="00271E0A"/>
    <w:rsid w:val="0027400B"/>
    <w:rsid w:val="00274532"/>
    <w:rsid w:val="002747D5"/>
    <w:rsid w:val="00275453"/>
    <w:rsid w:val="00275B29"/>
    <w:rsid w:val="00275D8B"/>
    <w:rsid w:val="002773E1"/>
    <w:rsid w:val="00277F97"/>
    <w:rsid w:val="0028041D"/>
    <w:rsid w:val="00280AC9"/>
    <w:rsid w:val="00282396"/>
    <w:rsid w:val="00283172"/>
    <w:rsid w:val="00283415"/>
    <w:rsid w:val="00283748"/>
    <w:rsid w:val="00283817"/>
    <w:rsid w:val="00284DD9"/>
    <w:rsid w:val="0028788B"/>
    <w:rsid w:val="00291353"/>
    <w:rsid w:val="00291359"/>
    <w:rsid w:val="00295923"/>
    <w:rsid w:val="00295B3D"/>
    <w:rsid w:val="002965DD"/>
    <w:rsid w:val="00297CCC"/>
    <w:rsid w:val="002A24EC"/>
    <w:rsid w:val="002A2EEB"/>
    <w:rsid w:val="002A45E0"/>
    <w:rsid w:val="002A5C15"/>
    <w:rsid w:val="002A6505"/>
    <w:rsid w:val="002B13F3"/>
    <w:rsid w:val="002B244E"/>
    <w:rsid w:val="002B3D8B"/>
    <w:rsid w:val="002B5925"/>
    <w:rsid w:val="002B593E"/>
    <w:rsid w:val="002B608E"/>
    <w:rsid w:val="002B68A8"/>
    <w:rsid w:val="002C0AC3"/>
    <w:rsid w:val="002C2616"/>
    <w:rsid w:val="002C4351"/>
    <w:rsid w:val="002C494E"/>
    <w:rsid w:val="002C628A"/>
    <w:rsid w:val="002C6DBD"/>
    <w:rsid w:val="002C72EC"/>
    <w:rsid w:val="002D209F"/>
    <w:rsid w:val="002D35E3"/>
    <w:rsid w:val="002D61DA"/>
    <w:rsid w:val="002D69DB"/>
    <w:rsid w:val="002D7330"/>
    <w:rsid w:val="002E22E8"/>
    <w:rsid w:val="002E262F"/>
    <w:rsid w:val="002E435C"/>
    <w:rsid w:val="002E603F"/>
    <w:rsid w:val="002E6406"/>
    <w:rsid w:val="002E6B9A"/>
    <w:rsid w:val="002F16DD"/>
    <w:rsid w:val="002F2621"/>
    <w:rsid w:val="002F2A3F"/>
    <w:rsid w:val="002F4051"/>
    <w:rsid w:val="002F41F4"/>
    <w:rsid w:val="00300079"/>
    <w:rsid w:val="0030138A"/>
    <w:rsid w:val="00303D94"/>
    <w:rsid w:val="0031141A"/>
    <w:rsid w:val="00311496"/>
    <w:rsid w:val="00311D33"/>
    <w:rsid w:val="00312591"/>
    <w:rsid w:val="003133EC"/>
    <w:rsid w:val="00317941"/>
    <w:rsid w:val="00320A55"/>
    <w:rsid w:val="00323631"/>
    <w:rsid w:val="00323CFB"/>
    <w:rsid w:val="00324CFA"/>
    <w:rsid w:val="0032553D"/>
    <w:rsid w:val="003266ED"/>
    <w:rsid w:val="00327AF8"/>
    <w:rsid w:val="00331419"/>
    <w:rsid w:val="003337BC"/>
    <w:rsid w:val="00343965"/>
    <w:rsid w:val="0034597B"/>
    <w:rsid w:val="00345AA5"/>
    <w:rsid w:val="00346DC4"/>
    <w:rsid w:val="0034746B"/>
    <w:rsid w:val="00350826"/>
    <w:rsid w:val="00350EDA"/>
    <w:rsid w:val="00351AC2"/>
    <w:rsid w:val="00351F83"/>
    <w:rsid w:val="00353238"/>
    <w:rsid w:val="00356388"/>
    <w:rsid w:val="00356557"/>
    <w:rsid w:val="003646A3"/>
    <w:rsid w:val="00364ABA"/>
    <w:rsid w:val="00367981"/>
    <w:rsid w:val="00367E67"/>
    <w:rsid w:val="00370131"/>
    <w:rsid w:val="0037202B"/>
    <w:rsid w:val="003721F8"/>
    <w:rsid w:val="00372536"/>
    <w:rsid w:val="003743BD"/>
    <w:rsid w:val="003746CA"/>
    <w:rsid w:val="003755CF"/>
    <w:rsid w:val="00375AA1"/>
    <w:rsid w:val="00377530"/>
    <w:rsid w:val="00382424"/>
    <w:rsid w:val="0038330A"/>
    <w:rsid w:val="00383A05"/>
    <w:rsid w:val="00383C59"/>
    <w:rsid w:val="003841F7"/>
    <w:rsid w:val="00390F86"/>
    <w:rsid w:val="00391A89"/>
    <w:rsid w:val="0039329E"/>
    <w:rsid w:val="0039432A"/>
    <w:rsid w:val="0039654B"/>
    <w:rsid w:val="00397E56"/>
    <w:rsid w:val="003A1AED"/>
    <w:rsid w:val="003A336A"/>
    <w:rsid w:val="003A397D"/>
    <w:rsid w:val="003A556E"/>
    <w:rsid w:val="003A5EF0"/>
    <w:rsid w:val="003A77AC"/>
    <w:rsid w:val="003B1AC9"/>
    <w:rsid w:val="003B4A7A"/>
    <w:rsid w:val="003B6053"/>
    <w:rsid w:val="003B61BF"/>
    <w:rsid w:val="003B657B"/>
    <w:rsid w:val="003B69C7"/>
    <w:rsid w:val="003C31D3"/>
    <w:rsid w:val="003C3A1B"/>
    <w:rsid w:val="003C4C0E"/>
    <w:rsid w:val="003C73EA"/>
    <w:rsid w:val="003C7842"/>
    <w:rsid w:val="003D04FF"/>
    <w:rsid w:val="003D087B"/>
    <w:rsid w:val="003D0A99"/>
    <w:rsid w:val="003D130E"/>
    <w:rsid w:val="003D1B6B"/>
    <w:rsid w:val="003D26C8"/>
    <w:rsid w:val="003D2D5C"/>
    <w:rsid w:val="003D2E4E"/>
    <w:rsid w:val="003D3AD9"/>
    <w:rsid w:val="003D5100"/>
    <w:rsid w:val="003D66FE"/>
    <w:rsid w:val="003D7C70"/>
    <w:rsid w:val="003E0248"/>
    <w:rsid w:val="003E0EDC"/>
    <w:rsid w:val="003E1E09"/>
    <w:rsid w:val="003E3BF6"/>
    <w:rsid w:val="003E45D9"/>
    <w:rsid w:val="003F141B"/>
    <w:rsid w:val="003F237F"/>
    <w:rsid w:val="003F2FF6"/>
    <w:rsid w:val="003F4504"/>
    <w:rsid w:val="003F5DFB"/>
    <w:rsid w:val="00401962"/>
    <w:rsid w:val="0040223D"/>
    <w:rsid w:val="004046DC"/>
    <w:rsid w:val="0040525B"/>
    <w:rsid w:val="00407625"/>
    <w:rsid w:val="00407ABC"/>
    <w:rsid w:val="00410715"/>
    <w:rsid w:val="00415121"/>
    <w:rsid w:val="0042246E"/>
    <w:rsid w:val="0042486C"/>
    <w:rsid w:val="004274A1"/>
    <w:rsid w:val="00427F94"/>
    <w:rsid w:val="0043005B"/>
    <w:rsid w:val="004300DA"/>
    <w:rsid w:val="00431275"/>
    <w:rsid w:val="004312CE"/>
    <w:rsid w:val="004336FB"/>
    <w:rsid w:val="0043517D"/>
    <w:rsid w:val="004365A8"/>
    <w:rsid w:val="00436907"/>
    <w:rsid w:val="00436C54"/>
    <w:rsid w:val="0043767C"/>
    <w:rsid w:val="0044000F"/>
    <w:rsid w:val="00441E66"/>
    <w:rsid w:val="00442638"/>
    <w:rsid w:val="00443AF1"/>
    <w:rsid w:val="00445500"/>
    <w:rsid w:val="00446C65"/>
    <w:rsid w:val="00447674"/>
    <w:rsid w:val="00447E04"/>
    <w:rsid w:val="00451255"/>
    <w:rsid w:val="0045177A"/>
    <w:rsid w:val="004521A3"/>
    <w:rsid w:val="004537D8"/>
    <w:rsid w:val="00455603"/>
    <w:rsid w:val="004558A1"/>
    <w:rsid w:val="00455C7A"/>
    <w:rsid w:val="0045620B"/>
    <w:rsid w:val="00457497"/>
    <w:rsid w:val="00457E9C"/>
    <w:rsid w:val="004619FB"/>
    <w:rsid w:val="004623EE"/>
    <w:rsid w:val="00463379"/>
    <w:rsid w:val="0046500C"/>
    <w:rsid w:val="004650D2"/>
    <w:rsid w:val="00465418"/>
    <w:rsid w:val="004669C6"/>
    <w:rsid w:val="004673F6"/>
    <w:rsid w:val="004764AB"/>
    <w:rsid w:val="00484C46"/>
    <w:rsid w:val="00485B80"/>
    <w:rsid w:val="00486221"/>
    <w:rsid w:val="00486462"/>
    <w:rsid w:val="00486853"/>
    <w:rsid w:val="00487319"/>
    <w:rsid w:val="0049193C"/>
    <w:rsid w:val="00493B2B"/>
    <w:rsid w:val="0049470A"/>
    <w:rsid w:val="004959E3"/>
    <w:rsid w:val="00495D39"/>
    <w:rsid w:val="00496C6E"/>
    <w:rsid w:val="0049717E"/>
    <w:rsid w:val="004A0578"/>
    <w:rsid w:val="004A0626"/>
    <w:rsid w:val="004A0C0A"/>
    <w:rsid w:val="004A158A"/>
    <w:rsid w:val="004A183D"/>
    <w:rsid w:val="004A2083"/>
    <w:rsid w:val="004A29F1"/>
    <w:rsid w:val="004A40A5"/>
    <w:rsid w:val="004A4276"/>
    <w:rsid w:val="004A43AE"/>
    <w:rsid w:val="004A5DC6"/>
    <w:rsid w:val="004A5FD9"/>
    <w:rsid w:val="004A716A"/>
    <w:rsid w:val="004A7D0F"/>
    <w:rsid w:val="004B10DB"/>
    <w:rsid w:val="004B1A41"/>
    <w:rsid w:val="004B466D"/>
    <w:rsid w:val="004B6959"/>
    <w:rsid w:val="004B6AEF"/>
    <w:rsid w:val="004B6C4D"/>
    <w:rsid w:val="004B757C"/>
    <w:rsid w:val="004C316D"/>
    <w:rsid w:val="004C41BA"/>
    <w:rsid w:val="004C47E2"/>
    <w:rsid w:val="004C630B"/>
    <w:rsid w:val="004D137A"/>
    <w:rsid w:val="004D18B6"/>
    <w:rsid w:val="004D1ADD"/>
    <w:rsid w:val="004D386C"/>
    <w:rsid w:val="004D4C7B"/>
    <w:rsid w:val="004D509C"/>
    <w:rsid w:val="004D5A66"/>
    <w:rsid w:val="004D6141"/>
    <w:rsid w:val="004D76FD"/>
    <w:rsid w:val="004D7B37"/>
    <w:rsid w:val="004E068A"/>
    <w:rsid w:val="004E236B"/>
    <w:rsid w:val="004E2D0C"/>
    <w:rsid w:val="004E2FA0"/>
    <w:rsid w:val="004F3053"/>
    <w:rsid w:val="004F3D2E"/>
    <w:rsid w:val="004F656F"/>
    <w:rsid w:val="00500D56"/>
    <w:rsid w:val="00503541"/>
    <w:rsid w:val="00504420"/>
    <w:rsid w:val="00505D62"/>
    <w:rsid w:val="0051056A"/>
    <w:rsid w:val="005106E4"/>
    <w:rsid w:val="00510FE8"/>
    <w:rsid w:val="00511A7F"/>
    <w:rsid w:val="0051408C"/>
    <w:rsid w:val="00514DCF"/>
    <w:rsid w:val="00515883"/>
    <w:rsid w:val="00516810"/>
    <w:rsid w:val="005169E6"/>
    <w:rsid w:val="0051797F"/>
    <w:rsid w:val="0052124D"/>
    <w:rsid w:val="00521525"/>
    <w:rsid w:val="005247F4"/>
    <w:rsid w:val="00527151"/>
    <w:rsid w:val="005277F6"/>
    <w:rsid w:val="005278F9"/>
    <w:rsid w:val="00527EBF"/>
    <w:rsid w:val="0053072F"/>
    <w:rsid w:val="00531054"/>
    <w:rsid w:val="00531BD3"/>
    <w:rsid w:val="005342E2"/>
    <w:rsid w:val="00534C91"/>
    <w:rsid w:val="00536811"/>
    <w:rsid w:val="00537F1F"/>
    <w:rsid w:val="00540185"/>
    <w:rsid w:val="00541E18"/>
    <w:rsid w:val="00544656"/>
    <w:rsid w:val="0054494B"/>
    <w:rsid w:val="00545814"/>
    <w:rsid w:val="00545903"/>
    <w:rsid w:val="00551176"/>
    <w:rsid w:val="0055226B"/>
    <w:rsid w:val="00552640"/>
    <w:rsid w:val="00552B84"/>
    <w:rsid w:val="00553A4C"/>
    <w:rsid w:val="00554EED"/>
    <w:rsid w:val="005566F5"/>
    <w:rsid w:val="00560097"/>
    <w:rsid w:val="0056048D"/>
    <w:rsid w:val="0056062C"/>
    <w:rsid w:val="00561641"/>
    <w:rsid w:val="00561CB4"/>
    <w:rsid w:val="00561E35"/>
    <w:rsid w:val="00563700"/>
    <w:rsid w:val="00564525"/>
    <w:rsid w:val="0056515F"/>
    <w:rsid w:val="00565F56"/>
    <w:rsid w:val="00566142"/>
    <w:rsid w:val="005678F0"/>
    <w:rsid w:val="00570D50"/>
    <w:rsid w:val="00571770"/>
    <w:rsid w:val="005738CA"/>
    <w:rsid w:val="0057719D"/>
    <w:rsid w:val="00577D62"/>
    <w:rsid w:val="00581D9D"/>
    <w:rsid w:val="005842DA"/>
    <w:rsid w:val="00585311"/>
    <w:rsid w:val="00587FF7"/>
    <w:rsid w:val="00591196"/>
    <w:rsid w:val="00593BBE"/>
    <w:rsid w:val="00593EC7"/>
    <w:rsid w:val="00596091"/>
    <w:rsid w:val="00596A8A"/>
    <w:rsid w:val="00597335"/>
    <w:rsid w:val="005974BB"/>
    <w:rsid w:val="00597503"/>
    <w:rsid w:val="00597DFB"/>
    <w:rsid w:val="005A124D"/>
    <w:rsid w:val="005A145B"/>
    <w:rsid w:val="005A2A65"/>
    <w:rsid w:val="005A460E"/>
    <w:rsid w:val="005A580B"/>
    <w:rsid w:val="005A5D6C"/>
    <w:rsid w:val="005B185F"/>
    <w:rsid w:val="005B40E7"/>
    <w:rsid w:val="005B4B3D"/>
    <w:rsid w:val="005B6296"/>
    <w:rsid w:val="005B677C"/>
    <w:rsid w:val="005B6A15"/>
    <w:rsid w:val="005B6EE0"/>
    <w:rsid w:val="005C166E"/>
    <w:rsid w:val="005C2EE9"/>
    <w:rsid w:val="005C5192"/>
    <w:rsid w:val="005C60EA"/>
    <w:rsid w:val="005C7CBC"/>
    <w:rsid w:val="005D0A47"/>
    <w:rsid w:val="005D1B1E"/>
    <w:rsid w:val="005D20F8"/>
    <w:rsid w:val="005D268F"/>
    <w:rsid w:val="005D3128"/>
    <w:rsid w:val="005D3C55"/>
    <w:rsid w:val="005D5C2A"/>
    <w:rsid w:val="005D5EB9"/>
    <w:rsid w:val="005D70F0"/>
    <w:rsid w:val="005D7E77"/>
    <w:rsid w:val="005E14F5"/>
    <w:rsid w:val="005E2F32"/>
    <w:rsid w:val="005E53E5"/>
    <w:rsid w:val="005E59E9"/>
    <w:rsid w:val="005E5AA5"/>
    <w:rsid w:val="005E5F5B"/>
    <w:rsid w:val="005E6EDC"/>
    <w:rsid w:val="005E772C"/>
    <w:rsid w:val="005F0564"/>
    <w:rsid w:val="005F1B11"/>
    <w:rsid w:val="005F3D48"/>
    <w:rsid w:val="005F49CE"/>
    <w:rsid w:val="005F4CC5"/>
    <w:rsid w:val="005F571E"/>
    <w:rsid w:val="005F754B"/>
    <w:rsid w:val="0060139A"/>
    <w:rsid w:val="00601DEE"/>
    <w:rsid w:val="00603371"/>
    <w:rsid w:val="00604A92"/>
    <w:rsid w:val="006061AB"/>
    <w:rsid w:val="00606B58"/>
    <w:rsid w:val="00607E80"/>
    <w:rsid w:val="0061000C"/>
    <w:rsid w:val="0061032E"/>
    <w:rsid w:val="00610D0F"/>
    <w:rsid w:val="006146B8"/>
    <w:rsid w:val="0061521A"/>
    <w:rsid w:val="00615631"/>
    <w:rsid w:val="00621DF1"/>
    <w:rsid w:val="00622EE1"/>
    <w:rsid w:val="00625ADF"/>
    <w:rsid w:val="006301D6"/>
    <w:rsid w:val="00631525"/>
    <w:rsid w:val="00631807"/>
    <w:rsid w:val="006320FC"/>
    <w:rsid w:val="00632283"/>
    <w:rsid w:val="0063261F"/>
    <w:rsid w:val="00633AEA"/>
    <w:rsid w:val="0063774D"/>
    <w:rsid w:val="00640E73"/>
    <w:rsid w:val="006428A3"/>
    <w:rsid w:val="00644337"/>
    <w:rsid w:val="00645ECF"/>
    <w:rsid w:val="00646235"/>
    <w:rsid w:val="00647AA4"/>
    <w:rsid w:val="00650AD0"/>
    <w:rsid w:val="0065322A"/>
    <w:rsid w:val="00653CDB"/>
    <w:rsid w:val="0065413E"/>
    <w:rsid w:val="00654E59"/>
    <w:rsid w:val="00655F9C"/>
    <w:rsid w:val="006561D5"/>
    <w:rsid w:val="00656C4E"/>
    <w:rsid w:val="00657A39"/>
    <w:rsid w:val="0066290D"/>
    <w:rsid w:val="0066334D"/>
    <w:rsid w:val="006664D8"/>
    <w:rsid w:val="00667F13"/>
    <w:rsid w:val="00671B35"/>
    <w:rsid w:val="00671EC3"/>
    <w:rsid w:val="006729AE"/>
    <w:rsid w:val="006745B1"/>
    <w:rsid w:val="006749D6"/>
    <w:rsid w:val="0067647A"/>
    <w:rsid w:val="00677A0C"/>
    <w:rsid w:val="00680651"/>
    <w:rsid w:val="006834B2"/>
    <w:rsid w:val="00684B7B"/>
    <w:rsid w:val="00685D6C"/>
    <w:rsid w:val="00685FB3"/>
    <w:rsid w:val="00687C16"/>
    <w:rsid w:val="00690254"/>
    <w:rsid w:val="00690B7D"/>
    <w:rsid w:val="006915C3"/>
    <w:rsid w:val="00691DE4"/>
    <w:rsid w:val="00692843"/>
    <w:rsid w:val="00695A64"/>
    <w:rsid w:val="00695F6F"/>
    <w:rsid w:val="0069701B"/>
    <w:rsid w:val="006971D5"/>
    <w:rsid w:val="00697762"/>
    <w:rsid w:val="00697798"/>
    <w:rsid w:val="006A202D"/>
    <w:rsid w:val="006A3902"/>
    <w:rsid w:val="006A5485"/>
    <w:rsid w:val="006A67AA"/>
    <w:rsid w:val="006A7F81"/>
    <w:rsid w:val="006B274A"/>
    <w:rsid w:val="006B40FF"/>
    <w:rsid w:val="006B5A1D"/>
    <w:rsid w:val="006B5A46"/>
    <w:rsid w:val="006B6E4A"/>
    <w:rsid w:val="006B7DCE"/>
    <w:rsid w:val="006C0A3B"/>
    <w:rsid w:val="006C0BD2"/>
    <w:rsid w:val="006C111D"/>
    <w:rsid w:val="006C1C2B"/>
    <w:rsid w:val="006C1E7D"/>
    <w:rsid w:val="006C2670"/>
    <w:rsid w:val="006C2782"/>
    <w:rsid w:val="006C5057"/>
    <w:rsid w:val="006C54FB"/>
    <w:rsid w:val="006C6809"/>
    <w:rsid w:val="006D2C26"/>
    <w:rsid w:val="006D43E8"/>
    <w:rsid w:val="006D60F9"/>
    <w:rsid w:val="006E08EA"/>
    <w:rsid w:val="006E17CB"/>
    <w:rsid w:val="006E27EE"/>
    <w:rsid w:val="006E3C16"/>
    <w:rsid w:val="006E4943"/>
    <w:rsid w:val="006E510B"/>
    <w:rsid w:val="006E6AA0"/>
    <w:rsid w:val="006E6BDA"/>
    <w:rsid w:val="006F2D60"/>
    <w:rsid w:val="006F48C3"/>
    <w:rsid w:val="006F5F0B"/>
    <w:rsid w:val="006F6EF2"/>
    <w:rsid w:val="007015B9"/>
    <w:rsid w:val="00703BEA"/>
    <w:rsid w:val="007072AD"/>
    <w:rsid w:val="00707D9D"/>
    <w:rsid w:val="007113E7"/>
    <w:rsid w:val="00711B7D"/>
    <w:rsid w:val="00712686"/>
    <w:rsid w:val="00713E48"/>
    <w:rsid w:val="007146C6"/>
    <w:rsid w:val="007147BE"/>
    <w:rsid w:val="00714903"/>
    <w:rsid w:val="00715255"/>
    <w:rsid w:val="0071574A"/>
    <w:rsid w:val="007207F9"/>
    <w:rsid w:val="00721AB4"/>
    <w:rsid w:val="00722EF6"/>
    <w:rsid w:val="007232F5"/>
    <w:rsid w:val="00723329"/>
    <w:rsid w:val="00723A6B"/>
    <w:rsid w:val="00724544"/>
    <w:rsid w:val="007262BB"/>
    <w:rsid w:val="0073067F"/>
    <w:rsid w:val="00732252"/>
    <w:rsid w:val="007326F9"/>
    <w:rsid w:val="00734B30"/>
    <w:rsid w:val="00734F32"/>
    <w:rsid w:val="00737955"/>
    <w:rsid w:val="0074266F"/>
    <w:rsid w:val="007428D6"/>
    <w:rsid w:val="007439C0"/>
    <w:rsid w:val="00743B42"/>
    <w:rsid w:val="00746AEE"/>
    <w:rsid w:val="00746FA7"/>
    <w:rsid w:val="007473F0"/>
    <w:rsid w:val="007519BD"/>
    <w:rsid w:val="007535E2"/>
    <w:rsid w:val="00753B9B"/>
    <w:rsid w:val="00753ECB"/>
    <w:rsid w:val="007561A4"/>
    <w:rsid w:val="0075723D"/>
    <w:rsid w:val="007607D2"/>
    <w:rsid w:val="00764B4E"/>
    <w:rsid w:val="00765D07"/>
    <w:rsid w:val="0076657C"/>
    <w:rsid w:val="00766C81"/>
    <w:rsid w:val="00766F51"/>
    <w:rsid w:val="007708BD"/>
    <w:rsid w:val="007714EC"/>
    <w:rsid w:val="007730C8"/>
    <w:rsid w:val="0077586B"/>
    <w:rsid w:val="0077598E"/>
    <w:rsid w:val="0077662C"/>
    <w:rsid w:val="00777441"/>
    <w:rsid w:val="0077779E"/>
    <w:rsid w:val="007777F4"/>
    <w:rsid w:val="00780AEE"/>
    <w:rsid w:val="00780BB7"/>
    <w:rsid w:val="00781758"/>
    <w:rsid w:val="00781E34"/>
    <w:rsid w:val="00783F3B"/>
    <w:rsid w:val="0078620C"/>
    <w:rsid w:val="007875F3"/>
    <w:rsid w:val="00790D03"/>
    <w:rsid w:val="007912D8"/>
    <w:rsid w:val="00791A1B"/>
    <w:rsid w:val="00791C0F"/>
    <w:rsid w:val="00795BC1"/>
    <w:rsid w:val="00796240"/>
    <w:rsid w:val="00797E34"/>
    <w:rsid w:val="007A08FE"/>
    <w:rsid w:val="007A0B01"/>
    <w:rsid w:val="007A10BD"/>
    <w:rsid w:val="007A21C2"/>
    <w:rsid w:val="007A5419"/>
    <w:rsid w:val="007A64F2"/>
    <w:rsid w:val="007B0935"/>
    <w:rsid w:val="007B2EEF"/>
    <w:rsid w:val="007B42B9"/>
    <w:rsid w:val="007B4576"/>
    <w:rsid w:val="007B49E4"/>
    <w:rsid w:val="007B7F7D"/>
    <w:rsid w:val="007C0644"/>
    <w:rsid w:val="007C0B8F"/>
    <w:rsid w:val="007C3D0D"/>
    <w:rsid w:val="007C4448"/>
    <w:rsid w:val="007C4902"/>
    <w:rsid w:val="007C74FE"/>
    <w:rsid w:val="007C7BA6"/>
    <w:rsid w:val="007D17EA"/>
    <w:rsid w:val="007D5C11"/>
    <w:rsid w:val="007D6FD6"/>
    <w:rsid w:val="007E0A9F"/>
    <w:rsid w:val="007E1082"/>
    <w:rsid w:val="007E1B85"/>
    <w:rsid w:val="007E36D0"/>
    <w:rsid w:val="007E3786"/>
    <w:rsid w:val="007E3832"/>
    <w:rsid w:val="007E5517"/>
    <w:rsid w:val="007E607B"/>
    <w:rsid w:val="007E6817"/>
    <w:rsid w:val="007F017A"/>
    <w:rsid w:val="007F0CAC"/>
    <w:rsid w:val="007F1A3B"/>
    <w:rsid w:val="007F1AD9"/>
    <w:rsid w:val="007F1EAF"/>
    <w:rsid w:val="007F3F0A"/>
    <w:rsid w:val="007F61E2"/>
    <w:rsid w:val="007F6C4B"/>
    <w:rsid w:val="007F73D9"/>
    <w:rsid w:val="007F7B8F"/>
    <w:rsid w:val="0080057D"/>
    <w:rsid w:val="00803FBB"/>
    <w:rsid w:val="008045BB"/>
    <w:rsid w:val="00805FB8"/>
    <w:rsid w:val="00806269"/>
    <w:rsid w:val="00811237"/>
    <w:rsid w:val="00811B95"/>
    <w:rsid w:val="00814358"/>
    <w:rsid w:val="0081475B"/>
    <w:rsid w:val="00816662"/>
    <w:rsid w:val="00816E9A"/>
    <w:rsid w:val="00817107"/>
    <w:rsid w:val="00820A0A"/>
    <w:rsid w:val="008226AA"/>
    <w:rsid w:val="008229B0"/>
    <w:rsid w:val="00822AD9"/>
    <w:rsid w:val="00822E6B"/>
    <w:rsid w:val="00823B63"/>
    <w:rsid w:val="00825BA7"/>
    <w:rsid w:val="0082609C"/>
    <w:rsid w:val="00827BA7"/>
    <w:rsid w:val="0083191C"/>
    <w:rsid w:val="0083200A"/>
    <w:rsid w:val="008333A0"/>
    <w:rsid w:val="00834FA6"/>
    <w:rsid w:val="008352F4"/>
    <w:rsid w:val="00835986"/>
    <w:rsid w:val="008402D8"/>
    <w:rsid w:val="00840F5C"/>
    <w:rsid w:val="00841A6F"/>
    <w:rsid w:val="00842C9B"/>
    <w:rsid w:val="00842E90"/>
    <w:rsid w:val="0084583C"/>
    <w:rsid w:val="008461C2"/>
    <w:rsid w:val="0085157A"/>
    <w:rsid w:val="00851C5D"/>
    <w:rsid w:val="00852840"/>
    <w:rsid w:val="008546A3"/>
    <w:rsid w:val="00854A11"/>
    <w:rsid w:val="00854D20"/>
    <w:rsid w:val="00855135"/>
    <w:rsid w:val="008563A6"/>
    <w:rsid w:val="008570F9"/>
    <w:rsid w:val="008577BD"/>
    <w:rsid w:val="00857E17"/>
    <w:rsid w:val="00861E4A"/>
    <w:rsid w:val="008620F9"/>
    <w:rsid w:val="00870EEB"/>
    <w:rsid w:val="00871BA2"/>
    <w:rsid w:val="0087294A"/>
    <w:rsid w:val="00872A3B"/>
    <w:rsid w:val="00872E75"/>
    <w:rsid w:val="008749B7"/>
    <w:rsid w:val="00874FFC"/>
    <w:rsid w:val="008754A3"/>
    <w:rsid w:val="00875AC4"/>
    <w:rsid w:val="00875D13"/>
    <w:rsid w:val="00877A9E"/>
    <w:rsid w:val="00877EB8"/>
    <w:rsid w:val="00880C46"/>
    <w:rsid w:val="00880D2B"/>
    <w:rsid w:val="00881345"/>
    <w:rsid w:val="0088216B"/>
    <w:rsid w:val="00883536"/>
    <w:rsid w:val="00884EC3"/>
    <w:rsid w:val="00884FB0"/>
    <w:rsid w:val="00885B7E"/>
    <w:rsid w:val="00887E15"/>
    <w:rsid w:val="008907A1"/>
    <w:rsid w:val="00892F1B"/>
    <w:rsid w:val="00893E3D"/>
    <w:rsid w:val="008943B7"/>
    <w:rsid w:val="00894A39"/>
    <w:rsid w:val="0089557A"/>
    <w:rsid w:val="00895C8E"/>
    <w:rsid w:val="00895FD1"/>
    <w:rsid w:val="00897048"/>
    <w:rsid w:val="008A126C"/>
    <w:rsid w:val="008A26E8"/>
    <w:rsid w:val="008A3CB1"/>
    <w:rsid w:val="008A402E"/>
    <w:rsid w:val="008A4F9E"/>
    <w:rsid w:val="008A5000"/>
    <w:rsid w:val="008A600E"/>
    <w:rsid w:val="008A6DED"/>
    <w:rsid w:val="008A7BB6"/>
    <w:rsid w:val="008A7C36"/>
    <w:rsid w:val="008A7DE8"/>
    <w:rsid w:val="008B13BB"/>
    <w:rsid w:val="008B30DF"/>
    <w:rsid w:val="008B33EA"/>
    <w:rsid w:val="008B4CE1"/>
    <w:rsid w:val="008B5955"/>
    <w:rsid w:val="008B6971"/>
    <w:rsid w:val="008C090D"/>
    <w:rsid w:val="008C09C3"/>
    <w:rsid w:val="008C3277"/>
    <w:rsid w:val="008C551F"/>
    <w:rsid w:val="008C6B3D"/>
    <w:rsid w:val="008D1CA5"/>
    <w:rsid w:val="008D2896"/>
    <w:rsid w:val="008D3564"/>
    <w:rsid w:val="008D48F6"/>
    <w:rsid w:val="008D4DED"/>
    <w:rsid w:val="008D7685"/>
    <w:rsid w:val="008D7B8A"/>
    <w:rsid w:val="008E15EF"/>
    <w:rsid w:val="008E6EE7"/>
    <w:rsid w:val="008E73B3"/>
    <w:rsid w:val="008F0567"/>
    <w:rsid w:val="008F0CD8"/>
    <w:rsid w:val="008F1335"/>
    <w:rsid w:val="008F1BEB"/>
    <w:rsid w:val="008F2598"/>
    <w:rsid w:val="008F2A21"/>
    <w:rsid w:val="008F33FF"/>
    <w:rsid w:val="008F6DD2"/>
    <w:rsid w:val="00900BBD"/>
    <w:rsid w:val="0090269C"/>
    <w:rsid w:val="009027F1"/>
    <w:rsid w:val="009039A8"/>
    <w:rsid w:val="00905137"/>
    <w:rsid w:val="00905F54"/>
    <w:rsid w:val="009112B4"/>
    <w:rsid w:val="00911D04"/>
    <w:rsid w:val="00912630"/>
    <w:rsid w:val="00912D55"/>
    <w:rsid w:val="00913765"/>
    <w:rsid w:val="00914854"/>
    <w:rsid w:val="00915106"/>
    <w:rsid w:val="00915940"/>
    <w:rsid w:val="009161D5"/>
    <w:rsid w:val="00916CF5"/>
    <w:rsid w:val="00917D21"/>
    <w:rsid w:val="00917E48"/>
    <w:rsid w:val="00920405"/>
    <w:rsid w:val="009215D2"/>
    <w:rsid w:val="00923291"/>
    <w:rsid w:val="00923D25"/>
    <w:rsid w:val="00924F4B"/>
    <w:rsid w:val="00927164"/>
    <w:rsid w:val="009274D9"/>
    <w:rsid w:val="00930CB8"/>
    <w:rsid w:val="00935F5A"/>
    <w:rsid w:val="0093608E"/>
    <w:rsid w:val="009368D8"/>
    <w:rsid w:val="00936C5A"/>
    <w:rsid w:val="009378BF"/>
    <w:rsid w:val="009407FE"/>
    <w:rsid w:val="00941371"/>
    <w:rsid w:val="00941877"/>
    <w:rsid w:val="00945A61"/>
    <w:rsid w:val="00947643"/>
    <w:rsid w:val="00947A4B"/>
    <w:rsid w:val="0095099E"/>
    <w:rsid w:val="00950BB8"/>
    <w:rsid w:val="00951F5F"/>
    <w:rsid w:val="00952A18"/>
    <w:rsid w:val="0095309A"/>
    <w:rsid w:val="00953B63"/>
    <w:rsid w:val="00953E8D"/>
    <w:rsid w:val="00955305"/>
    <w:rsid w:val="009556A1"/>
    <w:rsid w:val="00955760"/>
    <w:rsid w:val="009604BE"/>
    <w:rsid w:val="00960B85"/>
    <w:rsid w:val="0096143B"/>
    <w:rsid w:val="0096156D"/>
    <w:rsid w:val="0096238D"/>
    <w:rsid w:val="00964C64"/>
    <w:rsid w:val="0096572C"/>
    <w:rsid w:val="00967861"/>
    <w:rsid w:val="00970F7B"/>
    <w:rsid w:val="009721FA"/>
    <w:rsid w:val="00973ED9"/>
    <w:rsid w:val="00976A5D"/>
    <w:rsid w:val="0097712F"/>
    <w:rsid w:val="0097724C"/>
    <w:rsid w:val="00977DC4"/>
    <w:rsid w:val="00981DF7"/>
    <w:rsid w:val="009834AD"/>
    <w:rsid w:val="00983C93"/>
    <w:rsid w:val="00984A04"/>
    <w:rsid w:val="00984FCF"/>
    <w:rsid w:val="009863F0"/>
    <w:rsid w:val="009910A6"/>
    <w:rsid w:val="00994117"/>
    <w:rsid w:val="00995243"/>
    <w:rsid w:val="00995271"/>
    <w:rsid w:val="009956C4"/>
    <w:rsid w:val="009958D7"/>
    <w:rsid w:val="009975D0"/>
    <w:rsid w:val="00997DD7"/>
    <w:rsid w:val="009A0DCD"/>
    <w:rsid w:val="009A238A"/>
    <w:rsid w:val="009A2E95"/>
    <w:rsid w:val="009A3543"/>
    <w:rsid w:val="009A3C23"/>
    <w:rsid w:val="009A54E4"/>
    <w:rsid w:val="009A5FD2"/>
    <w:rsid w:val="009B365C"/>
    <w:rsid w:val="009B63A8"/>
    <w:rsid w:val="009B6FFA"/>
    <w:rsid w:val="009B7382"/>
    <w:rsid w:val="009C00E6"/>
    <w:rsid w:val="009C4CED"/>
    <w:rsid w:val="009C58D4"/>
    <w:rsid w:val="009D06FA"/>
    <w:rsid w:val="009D0E01"/>
    <w:rsid w:val="009D375B"/>
    <w:rsid w:val="009D7351"/>
    <w:rsid w:val="009E2C44"/>
    <w:rsid w:val="009E3327"/>
    <w:rsid w:val="009E3608"/>
    <w:rsid w:val="009E3DA5"/>
    <w:rsid w:val="009E4182"/>
    <w:rsid w:val="009E426B"/>
    <w:rsid w:val="009E49B6"/>
    <w:rsid w:val="009E4E5B"/>
    <w:rsid w:val="009E69BD"/>
    <w:rsid w:val="009E6D21"/>
    <w:rsid w:val="009E7774"/>
    <w:rsid w:val="009F1B58"/>
    <w:rsid w:val="00A01D80"/>
    <w:rsid w:val="00A02E26"/>
    <w:rsid w:val="00A0339A"/>
    <w:rsid w:val="00A0466C"/>
    <w:rsid w:val="00A0470E"/>
    <w:rsid w:val="00A04C20"/>
    <w:rsid w:val="00A0500F"/>
    <w:rsid w:val="00A0679F"/>
    <w:rsid w:val="00A06CA1"/>
    <w:rsid w:val="00A07E24"/>
    <w:rsid w:val="00A07EF7"/>
    <w:rsid w:val="00A07F61"/>
    <w:rsid w:val="00A116B8"/>
    <w:rsid w:val="00A11E11"/>
    <w:rsid w:val="00A12731"/>
    <w:rsid w:val="00A13464"/>
    <w:rsid w:val="00A1379C"/>
    <w:rsid w:val="00A15C2A"/>
    <w:rsid w:val="00A2224D"/>
    <w:rsid w:val="00A22EBB"/>
    <w:rsid w:val="00A2358C"/>
    <w:rsid w:val="00A23FA6"/>
    <w:rsid w:val="00A23FEC"/>
    <w:rsid w:val="00A24515"/>
    <w:rsid w:val="00A252C9"/>
    <w:rsid w:val="00A25F47"/>
    <w:rsid w:val="00A262B8"/>
    <w:rsid w:val="00A2719C"/>
    <w:rsid w:val="00A3120A"/>
    <w:rsid w:val="00A312CD"/>
    <w:rsid w:val="00A32236"/>
    <w:rsid w:val="00A34B13"/>
    <w:rsid w:val="00A3781C"/>
    <w:rsid w:val="00A409DD"/>
    <w:rsid w:val="00A42911"/>
    <w:rsid w:val="00A43FAD"/>
    <w:rsid w:val="00A443CA"/>
    <w:rsid w:val="00A45C78"/>
    <w:rsid w:val="00A46E7A"/>
    <w:rsid w:val="00A50C03"/>
    <w:rsid w:val="00A53701"/>
    <w:rsid w:val="00A55427"/>
    <w:rsid w:val="00A55690"/>
    <w:rsid w:val="00A55CD1"/>
    <w:rsid w:val="00A56296"/>
    <w:rsid w:val="00A56A3B"/>
    <w:rsid w:val="00A57B0E"/>
    <w:rsid w:val="00A61536"/>
    <w:rsid w:val="00A6308E"/>
    <w:rsid w:val="00A63B28"/>
    <w:rsid w:val="00A64508"/>
    <w:rsid w:val="00A65534"/>
    <w:rsid w:val="00A65AD7"/>
    <w:rsid w:val="00A6685F"/>
    <w:rsid w:val="00A6697C"/>
    <w:rsid w:val="00A70FBA"/>
    <w:rsid w:val="00A72026"/>
    <w:rsid w:val="00A724AD"/>
    <w:rsid w:val="00A733D7"/>
    <w:rsid w:val="00A758FC"/>
    <w:rsid w:val="00A773CB"/>
    <w:rsid w:val="00A77FC1"/>
    <w:rsid w:val="00A8053B"/>
    <w:rsid w:val="00A80C70"/>
    <w:rsid w:val="00A80E17"/>
    <w:rsid w:val="00A83CC7"/>
    <w:rsid w:val="00A83F73"/>
    <w:rsid w:val="00A855C8"/>
    <w:rsid w:val="00A8599D"/>
    <w:rsid w:val="00A8630B"/>
    <w:rsid w:val="00A87370"/>
    <w:rsid w:val="00A926CF"/>
    <w:rsid w:val="00A932F1"/>
    <w:rsid w:val="00A937EF"/>
    <w:rsid w:val="00A949AF"/>
    <w:rsid w:val="00A95613"/>
    <w:rsid w:val="00A95A39"/>
    <w:rsid w:val="00A965C0"/>
    <w:rsid w:val="00A96A2F"/>
    <w:rsid w:val="00A97568"/>
    <w:rsid w:val="00AA002C"/>
    <w:rsid w:val="00AA2C9F"/>
    <w:rsid w:val="00AA2DF3"/>
    <w:rsid w:val="00AA33CE"/>
    <w:rsid w:val="00AA53E1"/>
    <w:rsid w:val="00AA65EE"/>
    <w:rsid w:val="00AA778C"/>
    <w:rsid w:val="00AB04F1"/>
    <w:rsid w:val="00AB1AE0"/>
    <w:rsid w:val="00AB1EB5"/>
    <w:rsid w:val="00AB3DC6"/>
    <w:rsid w:val="00AB3E74"/>
    <w:rsid w:val="00AB4F7D"/>
    <w:rsid w:val="00AB5EA2"/>
    <w:rsid w:val="00AB6BAC"/>
    <w:rsid w:val="00AB779B"/>
    <w:rsid w:val="00AC0520"/>
    <w:rsid w:val="00AC41C2"/>
    <w:rsid w:val="00AC6315"/>
    <w:rsid w:val="00AC68F1"/>
    <w:rsid w:val="00AC7927"/>
    <w:rsid w:val="00AD2CDE"/>
    <w:rsid w:val="00AD3003"/>
    <w:rsid w:val="00AD312F"/>
    <w:rsid w:val="00AD4106"/>
    <w:rsid w:val="00AD56F9"/>
    <w:rsid w:val="00AD6D37"/>
    <w:rsid w:val="00AD7F0D"/>
    <w:rsid w:val="00AE0D28"/>
    <w:rsid w:val="00AE391A"/>
    <w:rsid w:val="00AE6633"/>
    <w:rsid w:val="00AE7486"/>
    <w:rsid w:val="00AF08F7"/>
    <w:rsid w:val="00AF2A76"/>
    <w:rsid w:val="00AF2D1C"/>
    <w:rsid w:val="00AF3603"/>
    <w:rsid w:val="00AF6DFB"/>
    <w:rsid w:val="00AF6F5A"/>
    <w:rsid w:val="00B0288B"/>
    <w:rsid w:val="00B04629"/>
    <w:rsid w:val="00B048D3"/>
    <w:rsid w:val="00B061C7"/>
    <w:rsid w:val="00B07075"/>
    <w:rsid w:val="00B10858"/>
    <w:rsid w:val="00B110FD"/>
    <w:rsid w:val="00B11494"/>
    <w:rsid w:val="00B12221"/>
    <w:rsid w:val="00B17580"/>
    <w:rsid w:val="00B203CA"/>
    <w:rsid w:val="00B21E38"/>
    <w:rsid w:val="00B21E6C"/>
    <w:rsid w:val="00B23068"/>
    <w:rsid w:val="00B26116"/>
    <w:rsid w:val="00B2712C"/>
    <w:rsid w:val="00B3248F"/>
    <w:rsid w:val="00B3379F"/>
    <w:rsid w:val="00B3498E"/>
    <w:rsid w:val="00B35A74"/>
    <w:rsid w:val="00B36246"/>
    <w:rsid w:val="00B36644"/>
    <w:rsid w:val="00B36B39"/>
    <w:rsid w:val="00B40081"/>
    <w:rsid w:val="00B41ABD"/>
    <w:rsid w:val="00B45C40"/>
    <w:rsid w:val="00B46AD0"/>
    <w:rsid w:val="00B47AF3"/>
    <w:rsid w:val="00B50729"/>
    <w:rsid w:val="00B5168D"/>
    <w:rsid w:val="00B51FA0"/>
    <w:rsid w:val="00B52A46"/>
    <w:rsid w:val="00B53346"/>
    <w:rsid w:val="00B549CF"/>
    <w:rsid w:val="00B572D8"/>
    <w:rsid w:val="00B57771"/>
    <w:rsid w:val="00B5779E"/>
    <w:rsid w:val="00B61BC7"/>
    <w:rsid w:val="00B63325"/>
    <w:rsid w:val="00B63385"/>
    <w:rsid w:val="00B64DF5"/>
    <w:rsid w:val="00B653A7"/>
    <w:rsid w:val="00B67B76"/>
    <w:rsid w:val="00B70334"/>
    <w:rsid w:val="00B706FF"/>
    <w:rsid w:val="00B73020"/>
    <w:rsid w:val="00B731DB"/>
    <w:rsid w:val="00B734B7"/>
    <w:rsid w:val="00B735F8"/>
    <w:rsid w:val="00B7443C"/>
    <w:rsid w:val="00B76106"/>
    <w:rsid w:val="00B77676"/>
    <w:rsid w:val="00B80411"/>
    <w:rsid w:val="00B806C9"/>
    <w:rsid w:val="00B80CCF"/>
    <w:rsid w:val="00B80E90"/>
    <w:rsid w:val="00B811FF"/>
    <w:rsid w:val="00B8253D"/>
    <w:rsid w:val="00B85829"/>
    <w:rsid w:val="00B90E73"/>
    <w:rsid w:val="00B9309C"/>
    <w:rsid w:val="00BA195A"/>
    <w:rsid w:val="00BA23C3"/>
    <w:rsid w:val="00BA2E08"/>
    <w:rsid w:val="00BA4E57"/>
    <w:rsid w:val="00BB148B"/>
    <w:rsid w:val="00BB199F"/>
    <w:rsid w:val="00BB1F7D"/>
    <w:rsid w:val="00BB258B"/>
    <w:rsid w:val="00BB3DD4"/>
    <w:rsid w:val="00BB4BE1"/>
    <w:rsid w:val="00BB5825"/>
    <w:rsid w:val="00BB7571"/>
    <w:rsid w:val="00BC2255"/>
    <w:rsid w:val="00BC2D1B"/>
    <w:rsid w:val="00BC524B"/>
    <w:rsid w:val="00BC5C1F"/>
    <w:rsid w:val="00BC6D2D"/>
    <w:rsid w:val="00BD1819"/>
    <w:rsid w:val="00BD2BC3"/>
    <w:rsid w:val="00BD3E4E"/>
    <w:rsid w:val="00BD3E92"/>
    <w:rsid w:val="00BD4199"/>
    <w:rsid w:val="00BD4340"/>
    <w:rsid w:val="00BD4B99"/>
    <w:rsid w:val="00BD622C"/>
    <w:rsid w:val="00BD719A"/>
    <w:rsid w:val="00BE0AF7"/>
    <w:rsid w:val="00BE3733"/>
    <w:rsid w:val="00BE52BD"/>
    <w:rsid w:val="00BE666C"/>
    <w:rsid w:val="00BE784F"/>
    <w:rsid w:val="00BF0E3C"/>
    <w:rsid w:val="00BF0F29"/>
    <w:rsid w:val="00BF3E18"/>
    <w:rsid w:val="00BF52D5"/>
    <w:rsid w:val="00BF62AA"/>
    <w:rsid w:val="00BF63C1"/>
    <w:rsid w:val="00BF745C"/>
    <w:rsid w:val="00BF7A54"/>
    <w:rsid w:val="00BF7F90"/>
    <w:rsid w:val="00C0030B"/>
    <w:rsid w:val="00C005F6"/>
    <w:rsid w:val="00C01356"/>
    <w:rsid w:val="00C0136E"/>
    <w:rsid w:val="00C02295"/>
    <w:rsid w:val="00C02BFD"/>
    <w:rsid w:val="00C04050"/>
    <w:rsid w:val="00C052CD"/>
    <w:rsid w:val="00C06002"/>
    <w:rsid w:val="00C07E51"/>
    <w:rsid w:val="00C07F96"/>
    <w:rsid w:val="00C10BEF"/>
    <w:rsid w:val="00C111DB"/>
    <w:rsid w:val="00C142CE"/>
    <w:rsid w:val="00C14F29"/>
    <w:rsid w:val="00C1505E"/>
    <w:rsid w:val="00C16428"/>
    <w:rsid w:val="00C2078A"/>
    <w:rsid w:val="00C21665"/>
    <w:rsid w:val="00C21F51"/>
    <w:rsid w:val="00C2250A"/>
    <w:rsid w:val="00C22BAA"/>
    <w:rsid w:val="00C23426"/>
    <w:rsid w:val="00C24AFE"/>
    <w:rsid w:val="00C254A4"/>
    <w:rsid w:val="00C2646E"/>
    <w:rsid w:val="00C30BA0"/>
    <w:rsid w:val="00C31245"/>
    <w:rsid w:val="00C33F40"/>
    <w:rsid w:val="00C34073"/>
    <w:rsid w:val="00C34DB8"/>
    <w:rsid w:val="00C3500C"/>
    <w:rsid w:val="00C371DA"/>
    <w:rsid w:val="00C37355"/>
    <w:rsid w:val="00C424C7"/>
    <w:rsid w:val="00C430BA"/>
    <w:rsid w:val="00C43988"/>
    <w:rsid w:val="00C47872"/>
    <w:rsid w:val="00C50D3B"/>
    <w:rsid w:val="00C5126B"/>
    <w:rsid w:val="00C514FD"/>
    <w:rsid w:val="00C52264"/>
    <w:rsid w:val="00C523B2"/>
    <w:rsid w:val="00C527EC"/>
    <w:rsid w:val="00C53449"/>
    <w:rsid w:val="00C53D39"/>
    <w:rsid w:val="00C53E05"/>
    <w:rsid w:val="00C61561"/>
    <w:rsid w:val="00C62417"/>
    <w:rsid w:val="00C6433B"/>
    <w:rsid w:val="00C64A81"/>
    <w:rsid w:val="00C65808"/>
    <w:rsid w:val="00C66838"/>
    <w:rsid w:val="00C7089C"/>
    <w:rsid w:val="00C7097C"/>
    <w:rsid w:val="00C70AF6"/>
    <w:rsid w:val="00C727B2"/>
    <w:rsid w:val="00C7536C"/>
    <w:rsid w:val="00C76C2B"/>
    <w:rsid w:val="00C80087"/>
    <w:rsid w:val="00C8457D"/>
    <w:rsid w:val="00C86CDE"/>
    <w:rsid w:val="00C91C14"/>
    <w:rsid w:val="00C95951"/>
    <w:rsid w:val="00C95F4D"/>
    <w:rsid w:val="00C9789A"/>
    <w:rsid w:val="00CA1497"/>
    <w:rsid w:val="00CA6389"/>
    <w:rsid w:val="00CA6DB2"/>
    <w:rsid w:val="00CB088D"/>
    <w:rsid w:val="00CB0A0A"/>
    <w:rsid w:val="00CB0D93"/>
    <w:rsid w:val="00CB2030"/>
    <w:rsid w:val="00CB28D2"/>
    <w:rsid w:val="00CB3ED8"/>
    <w:rsid w:val="00CB43F1"/>
    <w:rsid w:val="00CB4985"/>
    <w:rsid w:val="00CB5533"/>
    <w:rsid w:val="00CB7069"/>
    <w:rsid w:val="00CB771B"/>
    <w:rsid w:val="00CC06A3"/>
    <w:rsid w:val="00CC1AAF"/>
    <w:rsid w:val="00CC2BA4"/>
    <w:rsid w:val="00CC2BEB"/>
    <w:rsid w:val="00CC33AA"/>
    <w:rsid w:val="00CC6579"/>
    <w:rsid w:val="00CC7475"/>
    <w:rsid w:val="00CC7AC9"/>
    <w:rsid w:val="00CC7BC1"/>
    <w:rsid w:val="00CD0088"/>
    <w:rsid w:val="00CD0917"/>
    <w:rsid w:val="00CD2332"/>
    <w:rsid w:val="00CD57EE"/>
    <w:rsid w:val="00CD5ADC"/>
    <w:rsid w:val="00CD6F89"/>
    <w:rsid w:val="00CD70E0"/>
    <w:rsid w:val="00CE06CB"/>
    <w:rsid w:val="00CE1879"/>
    <w:rsid w:val="00CE1A41"/>
    <w:rsid w:val="00CF0A2C"/>
    <w:rsid w:val="00CF272F"/>
    <w:rsid w:val="00CF289A"/>
    <w:rsid w:val="00CF2C09"/>
    <w:rsid w:val="00CF2C0A"/>
    <w:rsid w:val="00CF45B8"/>
    <w:rsid w:val="00CF5E8D"/>
    <w:rsid w:val="00D00595"/>
    <w:rsid w:val="00D0124D"/>
    <w:rsid w:val="00D014CC"/>
    <w:rsid w:val="00D02BC3"/>
    <w:rsid w:val="00D03446"/>
    <w:rsid w:val="00D03A4B"/>
    <w:rsid w:val="00D04694"/>
    <w:rsid w:val="00D0488A"/>
    <w:rsid w:val="00D05291"/>
    <w:rsid w:val="00D054DF"/>
    <w:rsid w:val="00D0678F"/>
    <w:rsid w:val="00D06FFB"/>
    <w:rsid w:val="00D10090"/>
    <w:rsid w:val="00D10D17"/>
    <w:rsid w:val="00D11A97"/>
    <w:rsid w:val="00D1229C"/>
    <w:rsid w:val="00D13361"/>
    <w:rsid w:val="00D13444"/>
    <w:rsid w:val="00D134C0"/>
    <w:rsid w:val="00D15240"/>
    <w:rsid w:val="00D152E2"/>
    <w:rsid w:val="00D15647"/>
    <w:rsid w:val="00D17F0A"/>
    <w:rsid w:val="00D24850"/>
    <w:rsid w:val="00D26546"/>
    <w:rsid w:val="00D26E1C"/>
    <w:rsid w:val="00D27C2F"/>
    <w:rsid w:val="00D3037B"/>
    <w:rsid w:val="00D30690"/>
    <w:rsid w:val="00D30B2B"/>
    <w:rsid w:val="00D31B21"/>
    <w:rsid w:val="00D32440"/>
    <w:rsid w:val="00D324A1"/>
    <w:rsid w:val="00D346A5"/>
    <w:rsid w:val="00D35C0E"/>
    <w:rsid w:val="00D36562"/>
    <w:rsid w:val="00D37A41"/>
    <w:rsid w:val="00D37F29"/>
    <w:rsid w:val="00D40308"/>
    <w:rsid w:val="00D43842"/>
    <w:rsid w:val="00D44A66"/>
    <w:rsid w:val="00D451BA"/>
    <w:rsid w:val="00D463A4"/>
    <w:rsid w:val="00D46C91"/>
    <w:rsid w:val="00D50307"/>
    <w:rsid w:val="00D51A9C"/>
    <w:rsid w:val="00D5356D"/>
    <w:rsid w:val="00D54238"/>
    <w:rsid w:val="00D54A92"/>
    <w:rsid w:val="00D56639"/>
    <w:rsid w:val="00D56FD6"/>
    <w:rsid w:val="00D5797F"/>
    <w:rsid w:val="00D57BD2"/>
    <w:rsid w:val="00D57FB0"/>
    <w:rsid w:val="00D6004F"/>
    <w:rsid w:val="00D61D37"/>
    <w:rsid w:val="00D64F7F"/>
    <w:rsid w:val="00D66F75"/>
    <w:rsid w:val="00D67236"/>
    <w:rsid w:val="00D70F6A"/>
    <w:rsid w:val="00D71925"/>
    <w:rsid w:val="00D71E2F"/>
    <w:rsid w:val="00D745C7"/>
    <w:rsid w:val="00D74B47"/>
    <w:rsid w:val="00D75127"/>
    <w:rsid w:val="00D75683"/>
    <w:rsid w:val="00D7588F"/>
    <w:rsid w:val="00D762E4"/>
    <w:rsid w:val="00D76928"/>
    <w:rsid w:val="00D8452D"/>
    <w:rsid w:val="00D84925"/>
    <w:rsid w:val="00D86259"/>
    <w:rsid w:val="00D8684D"/>
    <w:rsid w:val="00D879D9"/>
    <w:rsid w:val="00D91DAB"/>
    <w:rsid w:val="00D928C5"/>
    <w:rsid w:val="00D932AE"/>
    <w:rsid w:val="00D942BE"/>
    <w:rsid w:val="00D9487D"/>
    <w:rsid w:val="00D94A60"/>
    <w:rsid w:val="00D94BDC"/>
    <w:rsid w:val="00D967C5"/>
    <w:rsid w:val="00D96C2E"/>
    <w:rsid w:val="00DA02A8"/>
    <w:rsid w:val="00DA34FB"/>
    <w:rsid w:val="00DA50EE"/>
    <w:rsid w:val="00DA5AA9"/>
    <w:rsid w:val="00DB0DF8"/>
    <w:rsid w:val="00DB1A0B"/>
    <w:rsid w:val="00DB377C"/>
    <w:rsid w:val="00DB3E94"/>
    <w:rsid w:val="00DB7621"/>
    <w:rsid w:val="00DC0B86"/>
    <w:rsid w:val="00DC0E2E"/>
    <w:rsid w:val="00DC0FF9"/>
    <w:rsid w:val="00DC33A9"/>
    <w:rsid w:val="00DC3C96"/>
    <w:rsid w:val="00DC476E"/>
    <w:rsid w:val="00DD0B84"/>
    <w:rsid w:val="00DD5AEF"/>
    <w:rsid w:val="00DD7EFE"/>
    <w:rsid w:val="00DE11F4"/>
    <w:rsid w:val="00DE1367"/>
    <w:rsid w:val="00DE1CB6"/>
    <w:rsid w:val="00DE1FFF"/>
    <w:rsid w:val="00DE329F"/>
    <w:rsid w:val="00DE3CA6"/>
    <w:rsid w:val="00DE4D4E"/>
    <w:rsid w:val="00DE6C76"/>
    <w:rsid w:val="00DE6F2C"/>
    <w:rsid w:val="00DF0BF1"/>
    <w:rsid w:val="00DF388B"/>
    <w:rsid w:val="00DF3B01"/>
    <w:rsid w:val="00DF51F6"/>
    <w:rsid w:val="00DF5301"/>
    <w:rsid w:val="00E003FA"/>
    <w:rsid w:val="00E01A22"/>
    <w:rsid w:val="00E040BE"/>
    <w:rsid w:val="00E04E49"/>
    <w:rsid w:val="00E064EC"/>
    <w:rsid w:val="00E0716C"/>
    <w:rsid w:val="00E101F7"/>
    <w:rsid w:val="00E12AA9"/>
    <w:rsid w:val="00E13A00"/>
    <w:rsid w:val="00E13A96"/>
    <w:rsid w:val="00E16220"/>
    <w:rsid w:val="00E1660B"/>
    <w:rsid w:val="00E16762"/>
    <w:rsid w:val="00E174C9"/>
    <w:rsid w:val="00E17AA1"/>
    <w:rsid w:val="00E21D05"/>
    <w:rsid w:val="00E22FDB"/>
    <w:rsid w:val="00E26879"/>
    <w:rsid w:val="00E272D7"/>
    <w:rsid w:val="00E27638"/>
    <w:rsid w:val="00E30435"/>
    <w:rsid w:val="00E31396"/>
    <w:rsid w:val="00E33ED0"/>
    <w:rsid w:val="00E34285"/>
    <w:rsid w:val="00E34CD0"/>
    <w:rsid w:val="00E35B8F"/>
    <w:rsid w:val="00E3670C"/>
    <w:rsid w:val="00E37211"/>
    <w:rsid w:val="00E37B07"/>
    <w:rsid w:val="00E41879"/>
    <w:rsid w:val="00E42565"/>
    <w:rsid w:val="00E42D47"/>
    <w:rsid w:val="00E42DA6"/>
    <w:rsid w:val="00E447CF"/>
    <w:rsid w:val="00E448B4"/>
    <w:rsid w:val="00E4511A"/>
    <w:rsid w:val="00E4652D"/>
    <w:rsid w:val="00E46D69"/>
    <w:rsid w:val="00E505B8"/>
    <w:rsid w:val="00E50E20"/>
    <w:rsid w:val="00E518E0"/>
    <w:rsid w:val="00E566C3"/>
    <w:rsid w:val="00E567A6"/>
    <w:rsid w:val="00E56B94"/>
    <w:rsid w:val="00E56C0A"/>
    <w:rsid w:val="00E56FE2"/>
    <w:rsid w:val="00E60F8F"/>
    <w:rsid w:val="00E61B0B"/>
    <w:rsid w:val="00E6532A"/>
    <w:rsid w:val="00E65472"/>
    <w:rsid w:val="00E67DD5"/>
    <w:rsid w:val="00E739B0"/>
    <w:rsid w:val="00E73B30"/>
    <w:rsid w:val="00E77D62"/>
    <w:rsid w:val="00E81B39"/>
    <w:rsid w:val="00E83D09"/>
    <w:rsid w:val="00E849C2"/>
    <w:rsid w:val="00E84C67"/>
    <w:rsid w:val="00E857DA"/>
    <w:rsid w:val="00E86157"/>
    <w:rsid w:val="00E86394"/>
    <w:rsid w:val="00E869C3"/>
    <w:rsid w:val="00E8706F"/>
    <w:rsid w:val="00E909AB"/>
    <w:rsid w:val="00E93D4B"/>
    <w:rsid w:val="00E97281"/>
    <w:rsid w:val="00EA17AD"/>
    <w:rsid w:val="00EA18CE"/>
    <w:rsid w:val="00EA1F60"/>
    <w:rsid w:val="00EA2433"/>
    <w:rsid w:val="00EA34AD"/>
    <w:rsid w:val="00EA4DFF"/>
    <w:rsid w:val="00EA72BF"/>
    <w:rsid w:val="00EB14DE"/>
    <w:rsid w:val="00EB1658"/>
    <w:rsid w:val="00EB1EB6"/>
    <w:rsid w:val="00EB2AFD"/>
    <w:rsid w:val="00EB2CC2"/>
    <w:rsid w:val="00EB5203"/>
    <w:rsid w:val="00EB5830"/>
    <w:rsid w:val="00EB6EFF"/>
    <w:rsid w:val="00EC0898"/>
    <w:rsid w:val="00EC10FD"/>
    <w:rsid w:val="00EC3765"/>
    <w:rsid w:val="00EC48D4"/>
    <w:rsid w:val="00ED1C18"/>
    <w:rsid w:val="00ED2E74"/>
    <w:rsid w:val="00ED31CE"/>
    <w:rsid w:val="00ED3A62"/>
    <w:rsid w:val="00ED3FD0"/>
    <w:rsid w:val="00ED48FA"/>
    <w:rsid w:val="00ED568F"/>
    <w:rsid w:val="00ED729A"/>
    <w:rsid w:val="00EE10C0"/>
    <w:rsid w:val="00EE115D"/>
    <w:rsid w:val="00EE1586"/>
    <w:rsid w:val="00EE2074"/>
    <w:rsid w:val="00EE2694"/>
    <w:rsid w:val="00EE4521"/>
    <w:rsid w:val="00EE458C"/>
    <w:rsid w:val="00EE4FEC"/>
    <w:rsid w:val="00EF061A"/>
    <w:rsid w:val="00EF1524"/>
    <w:rsid w:val="00EF24CF"/>
    <w:rsid w:val="00EF27F1"/>
    <w:rsid w:val="00EF3269"/>
    <w:rsid w:val="00EF3720"/>
    <w:rsid w:val="00EF391F"/>
    <w:rsid w:val="00EF4231"/>
    <w:rsid w:val="00EF64EE"/>
    <w:rsid w:val="00F00EBE"/>
    <w:rsid w:val="00F039FF"/>
    <w:rsid w:val="00F0497E"/>
    <w:rsid w:val="00F053B4"/>
    <w:rsid w:val="00F116BE"/>
    <w:rsid w:val="00F12111"/>
    <w:rsid w:val="00F12EED"/>
    <w:rsid w:val="00F1426D"/>
    <w:rsid w:val="00F1576C"/>
    <w:rsid w:val="00F20364"/>
    <w:rsid w:val="00F23AF6"/>
    <w:rsid w:val="00F243F1"/>
    <w:rsid w:val="00F302FF"/>
    <w:rsid w:val="00F315F7"/>
    <w:rsid w:val="00F34037"/>
    <w:rsid w:val="00F3544A"/>
    <w:rsid w:val="00F41381"/>
    <w:rsid w:val="00F41A80"/>
    <w:rsid w:val="00F42085"/>
    <w:rsid w:val="00F4390D"/>
    <w:rsid w:val="00F45CEE"/>
    <w:rsid w:val="00F46579"/>
    <w:rsid w:val="00F46CA7"/>
    <w:rsid w:val="00F50933"/>
    <w:rsid w:val="00F52E20"/>
    <w:rsid w:val="00F53617"/>
    <w:rsid w:val="00F537C0"/>
    <w:rsid w:val="00F53F1E"/>
    <w:rsid w:val="00F553EA"/>
    <w:rsid w:val="00F55C9B"/>
    <w:rsid w:val="00F56B40"/>
    <w:rsid w:val="00F57583"/>
    <w:rsid w:val="00F609CC"/>
    <w:rsid w:val="00F62883"/>
    <w:rsid w:val="00F63684"/>
    <w:rsid w:val="00F66280"/>
    <w:rsid w:val="00F67FB4"/>
    <w:rsid w:val="00F7307F"/>
    <w:rsid w:val="00F7560C"/>
    <w:rsid w:val="00F777C5"/>
    <w:rsid w:val="00F77D70"/>
    <w:rsid w:val="00F8015C"/>
    <w:rsid w:val="00F81627"/>
    <w:rsid w:val="00F81959"/>
    <w:rsid w:val="00F82658"/>
    <w:rsid w:val="00F82B3F"/>
    <w:rsid w:val="00F840BF"/>
    <w:rsid w:val="00F84625"/>
    <w:rsid w:val="00F85B53"/>
    <w:rsid w:val="00F87304"/>
    <w:rsid w:val="00F93240"/>
    <w:rsid w:val="00F9491F"/>
    <w:rsid w:val="00F95307"/>
    <w:rsid w:val="00F953FE"/>
    <w:rsid w:val="00F96A4D"/>
    <w:rsid w:val="00FA0105"/>
    <w:rsid w:val="00FA078E"/>
    <w:rsid w:val="00FA331B"/>
    <w:rsid w:val="00FA3BA9"/>
    <w:rsid w:val="00FA40E2"/>
    <w:rsid w:val="00FA4296"/>
    <w:rsid w:val="00FA6A6B"/>
    <w:rsid w:val="00FA7A94"/>
    <w:rsid w:val="00FB1AC6"/>
    <w:rsid w:val="00FB5569"/>
    <w:rsid w:val="00FB7D87"/>
    <w:rsid w:val="00FC0408"/>
    <w:rsid w:val="00FC436F"/>
    <w:rsid w:val="00FC4718"/>
    <w:rsid w:val="00FC7734"/>
    <w:rsid w:val="00FD0176"/>
    <w:rsid w:val="00FD0D89"/>
    <w:rsid w:val="00FD1162"/>
    <w:rsid w:val="00FD1478"/>
    <w:rsid w:val="00FD1902"/>
    <w:rsid w:val="00FD1E9D"/>
    <w:rsid w:val="00FD2A66"/>
    <w:rsid w:val="00FD2AFF"/>
    <w:rsid w:val="00FD31F7"/>
    <w:rsid w:val="00FD498D"/>
    <w:rsid w:val="00FD5A29"/>
    <w:rsid w:val="00FD5BF3"/>
    <w:rsid w:val="00FD65E0"/>
    <w:rsid w:val="00FD6EA9"/>
    <w:rsid w:val="00FD7D2D"/>
    <w:rsid w:val="00FE0337"/>
    <w:rsid w:val="00FE23EE"/>
    <w:rsid w:val="00FE2D46"/>
    <w:rsid w:val="00FE5C5B"/>
    <w:rsid w:val="00FE7543"/>
    <w:rsid w:val="00FE7B54"/>
    <w:rsid w:val="00FF0D96"/>
    <w:rsid w:val="00FF1526"/>
    <w:rsid w:val="00FF435E"/>
    <w:rsid w:val="00FF5663"/>
    <w:rsid w:val="00FF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BDD91"/>
  <w15:docId w15:val="{4A03C970-E8FF-4C44-B6E5-B59892E5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5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A39"/>
    <w:pPr>
      <w:ind w:left="720"/>
      <w:contextualSpacing/>
    </w:pPr>
  </w:style>
  <w:style w:type="paragraph" w:styleId="FootnoteText">
    <w:name w:val="footnote text"/>
    <w:basedOn w:val="Normal"/>
    <w:link w:val="FootnoteTextChar"/>
    <w:autoRedefine/>
    <w:uiPriority w:val="99"/>
    <w:unhideWhenUsed/>
    <w:rsid w:val="00D3037B"/>
    <w:rPr>
      <w:sz w:val="20"/>
      <w:szCs w:val="20"/>
    </w:rPr>
  </w:style>
  <w:style w:type="character" w:customStyle="1" w:styleId="FootnoteTextChar">
    <w:name w:val="Footnote Text Char"/>
    <w:basedOn w:val="DefaultParagraphFont"/>
    <w:link w:val="FootnoteText"/>
    <w:uiPriority w:val="99"/>
    <w:rsid w:val="00D3037B"/>
    <w:rPr>
      <w:rFonts w:ascii="Times New Roman" w:hAnsi="Times New Roman"/>
      <w:sz w:val="20"/>
      <w:szCs w:val="20"/>
    </w:rPr>
  </w:style>
  <w:style w:type="character" w:styleId="FootnoteReference">
    <w:name w:val="footnote reference"/>
    <w:basedOn w:val="DefaultParagraphFont"/>
    <w:semiHidden/>
    <w:unhideWhenUsed/>
    <w:rsid w:val="00C0136E"/>
    <w:rPr>
      <w:vertAlign w:val="superscript"/>
    </w:rPr>
  </w:style>
  <w:style w:type="character" w:styleId="PlaceholderText">
    <w:name w:val="Placeholder Text"/>
    <w:basedOn w:val="DefaultParagraphFont"/>
    <w:uiPriority w:val="99"/>
    <w:semiHidden/>
    <w:rsid w:val="00C34DB8"/>
    <w:rPr>
      <w:color w:val="808080"/>
    </w:rPr>
  </w:style>
  <w:style w:type="paragraph" w:styleId="BalloonText">
    <w:name w:val="Balloon Text"/>
    <w:basedOn w:val="Normal"/>
    <w:link w:val="BalloonTextChar"/>
    <w:uiPriority w:val="99"/>
    <w:semiHidden/>
    <w:unhideWhenUsed/>
    <w:rsid w:val="00C34DB8"/>
    <w:rPr>
      <w:rFonts w:ascii="Tahoma" w:hAnsi="Tahoma" w:cs="Tahoma"/>
      <w:sz w:val="16"/>
      <w:szCs w:val="16"/>
    </w:rPr>
  </w:style>
  <w:style w:type="character" w:customStyle="1" w:styleId="BalloonTextChar">
    <w:name w:val="Balloon Text Char"/>
    <w:basedOn w:val="DefaultParagraphFont"/>
    <w:link w:val="BalloonText"/>
    <w:uiPriority w:val="99"/>
    <w:semiHidden/>
    <w:rsid w:val="00C34DB8"/>
    <w:rPr>
      <w:rFonts w:ascii="Tahoma" w:hAnsi="Tahoma" w:cs="Tahoma"/>
      <w:sz w:val="16"/>
      <w:szCs w:val="16"/>
    </w:rPr>
  </w:style>
  <w:style w:type="table" w:styleId="TableGrid">
    <w:name w:val="Table Grid"/>
    <w:basedOn w:val="TableNormal"/>
    <w:uiPriority w:val="59"/>
    <w:rsid w:val="00467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B8A"/>
    <w:pPr>
      <w:tabs>
        <w:tab w:val="center" w:pos="4680"/>
        <w:tab w:val="right" w:pos="9360"/>
      </w:tabs>
    </w:pPr>
  </w:style>
  <w:style w:type="character" w:customStyle="1" w:styleId="HeaderChar">
    <w:name w:val="Header Char"/>
    <w:basedOn w:val="DefaultParagraphFont"/>
    <w:link w:val="Header"/>
    <w:uiPriority w:val="99"/>
    <w:rsid w:val="008D7B8A"/>
  </w:style>
  <w:style w:type="paragraph" w:styleId="Footer">
    <w:name w:val="footer"/>
    <w:basedOn w:val="Normal"/>
    <w:link w:val="FooterChar"/>
    <w:uiPriority w:val="99"/>
    <w:unhideWhenUsed/>
    <w:rsid w:val="008D7B8A"/>
    <w:pPr>
      <w:tabs>
        <w:tab w:val="center" w:pos="4680"/>
        <w:tab w:val="right" w:pos="9360"/>
      </w:tabs>
    </w:pPr>
  </w:style>
  <w:style w:type="character" w:customStyle="1" w:styleId="FooterChar">
    <w:name w:val="Footer Char"/>
    <w:basedOn w:val="DefaultParagraphFont"/>
    <w:link w:val="Footer"/>
    <w:uiPriority w:val="99"/>
    <w:rsid w:val="008D7B8A"/>
  </w:style>
  <w:style w:type="character" w:styleId="Hyperlink">
    <w:name w:val="Hyperlink"/>
    <w:rsid w:val="00A42911"/>
    <w:rPr>
      <w:rFonts w:cs="Times New Roman"/>
      <w:color w:val="0000FF"/>
      <w:u w:val="single"/>
    </w:rPr>
  </w:style>
  <w:style w:type="paragraph" w:styleId="NormalWeb">
    <w:name w:val="Normal (Web)"/>
    <w:basedOn w:val="Normal"/>
    <w:uiPriority w:val="99"/>
    <w:semiHidden/>
    <w:unhideWhenUsed/>
    <w:rsid w:val="00EA2433"/>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5C7CBC"/>
    <w:rPr>
      <w:sz w:val="16"/>
      <w:szCs w:val="16"/>
    </w:rPr>
  </w:style>
  <w:style w:type="paragraph" w:styleId="CommentText">
    <w:name w:val="annotation text"/>
    <w:basedOn w:val="Normal"/>
    <w:link w:val="CommentTextChar"/>
    <w:uiPriority w:val="99"/>
    <w:semiHidden/>
    <w:unhideWhenUsed/>
    <w:rsid w:val="005C7CBC"/>
    <w:rPr>
      <w:sz w:val="20"/>
      <w:szCs w:val="20"/>
    </w:rPr>
  </w:style>
  <w:style w:type="character" w:customStyle="1" w:styleId="CommentTextChar">
    <w:name w:val="Comment Text Char"/>
    <w:basedOn w:val="DefaultParagraphFont"/>
    <w:link w:val="CommentText"/>
    <w:uiPriority w:val="99"/>
    <w:semiHidden/>
    <w:rsid w:val="005C7CBC"/>
    <w:rPr>
      <w:sz w:val="20"/>
      <w:szCs w:val="20"/>
    </w:rPr>
  </w:style>
  <w:style w:type="paragraph" w:styleId="CommentSubject">
    <w:name w:val="annotation subject"/>
    <w:basedOn w:val="CommentText"/>
    <w:next w:val="CommentText"/>
    <w:link w:val="CommentSubjectChar"/>
    <w:uiPriority w:val="99"/>
    <w:semiHidden/>
    <w:unhideWhenUsed/>
    <w:rsid w:val="005C7CBC"/>
    <w:rPr>
      <w:b/>
      <w:bCs/>
    </w:rPr>
  </w:style>
  <w:style w:type="character" w:customStyle="1" w:styleId="CommentSubjectChar">
    <w:name w:val="Comment Subject Char"/>
    <w:basedOn w:val="CommentTextChar"/>
    <w:link w:val="CommentSubject"/>
    <w:uiPriority w:val="99"/>
    <w:semiHidden/>
    <w:rsid w:val="005C7CBC"/>
    <w:rPr>
      <w:b/>
      <w:bCs/>
      <w:sz w:val="20"/>
      <w:szCs w:val="20"/>
    </w:rPr>
  </w:style>
  <w:style w:type="paragraph" w:styleId="Revision">
    <w:name w:val="Revision"/>
    <w:hidden/>
    <w:uiPriority w:val="99"/>
    <w:semiHidden/>
    <w:rsid w:val="005C7CBC"/>
    <w:pPr>
      <w:spacing w:after="0" w:line="240" w:lineRule="auto"/>
    </w:pPr>
  </w:style>
  <w:style w:type="character" w:styleId="UnresolvedMention">
    <w:name w:val="Unresolved Mention"/>
    <w:basedOn w:val="DefaultParagraphFont"/>
    <w:uiPriority w:val="99"/>
    <w:semiHidden/>
    <w:unhideWhenUsed/>
    <w:rsid w:val="009721FA"/>
    <w:rPr>
      <w:color w:val="605E5C"/>
      <w:shd w:val="clear" w:color="auto" w:fill="E1DFDD"/>
    </w:rPr>
  </w:style>
  <w:style w:type="character" w:styleId="PageNumber">
    <w:name w:val="page number"/>
    <w:basedOn w:val="DefaultParagraphFont"/>
    <w:uiPriority w:val="99"/>
    <w:semiHidden/>
    <w:unhideWhenUsed/>
    <w:rsid w:val="00D31B21"/>
  </w:style>
  <w:style w:type="character" w:styleId="FollowedHyperlink">
    <w:name w:val="FollowedHyperlink"/>
    <w:basedOn w:val="DefaultParagraphFont"/>
    <w:uiPriority w:val="99"/>
    <w:semiHidden/>
    <w:unhideWhenUsed/>
    <w:rsid w:val="009B365C"/>
    <w:rPr>
      <w:color w:val="800080" w:themeColor="followedHyperlink"/>
      <w:u w:val="single"/>
    </w:rPr>
  </w:style>
  <w:style w:type="paragraph" w:customStyle="1" w:styleId="TableContents">
    <w:name w:val="Table Contents"/>
    <w:basedOn w:val="Normal"/>
    <w:qFormat/>
    <w:rsid w:val="007535E2"/>
    <w:pPr>
      <w:suppressLineNumbers/>
    </w:pPr>
    <w:rPr>
      <w:rFonts w:ascii="Liberation Serif" w:eastAsia="NSimSun" w:hAnsi="Liberation Serif" w:cs="Arial"/>
      <w:kern w:val="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044126">
      <w:bodyDiv w:val="1"/>
      <w:marLeft w:val="0"/>
      <w:marRight w:val="0"/>
      <w:marTop w:val="0"/>
      <w:marBottom w:val="0"/>
      <w:divBdr>
        <w:top w:val="none" w:sz="0" w:space="0" w:color="auto"/>
        <w:left w:val="none" w:sz="0" w:space="0" w:color="auto"/>
        <w:bottom w:val="none" w:sz="0" w:space="0" w:color="auto"/>
        <w:right w:val="none" w:sz="0" w:space="0" w:color="auto"/>
      </w:divBdr>
    </w:div>
    <w:div w:id="1084300964">
      <w:bodyDiv w:val="1"/>
      <w:marLeft w:val="0"/>
      <w:marRight w:val="0"/>
      <w:marTop w:val="0"/>
      <w:marBottom w:val="0"/>
      <w:divBdr>
        <w:top w:val="none" w:sz="0" w:space="0" w:color="auto"/>
        <w:left w:val="none" w:sz="0" w:space="0" w:color="auto"/>
        <w:bottom w:val="none" w:sz="0" w:space="0" w:color="auto"/>
        <w:right w:val="none" w:sz="0" w:space="0" w:color="auto"/>
      </w:divBdr>
      <w:divsChild>
        <w:div w:id="740908304">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E3C68-3790-314A-BB7C-2ABC5954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Kost</dc:creator>
  <cp:keywords/>
  <dc:description/>
  <cp:lastModifiedBy>Hansen, Stephen E K</cp:lastModifiedBy>
  <cp:revision>2</cp:revision>
  <cp:lastPrinted>2019-03-20T19:20:00Z</cp:lastPrinted>
  <dcterms:created xsi:type="dcterms:W3CDTF">2020-05-20T14:37:00Z</dcterms:created>
  <dcterms:modified xsi:type="dcterms:W3CDTF">2020-05-20T14:37:00Z</dcterms:modified>
</cp:coreProperties>
</file>