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u w:val="none"/>
        </w:rPr>
        <w:t>【模板】详细设计文档</w:t>
      </w:r>
    </w:p>
    <w:p>
      <w:pPr>
        <w:pStyle w:val="Heading1"/>
      </w:pPr>
      <w:r>
        <w:rPr>
          <w:b w:val="0"/>
          <w:i w:val="0"/>
          <w:u w:val="none"/>
        </w:rPr>
        <w:t>模板使用说明</w:t>
      </w:r>
    </w:p>
    <w:p>
      <w:r>
        <w:rPr>
          <w:b w:val="0"/>
          <w:i w:val="0"/>
          <w:u w:val="none"/>
        </w:rPr>
        <w:t>复制本模板后，按项目实际填写并删除说明性占位。</w:t>
      </w:r>
      <w:r>
        <w:rPr>
          <w:b/>
          <w:i w:val="0"/>
          <w:u w:val="none"/>
        </w:rPr>
        <w:t>背景、目标与验收、架构、代码范围、模块接口、异常处理、使用与测试</w:t>
      </w:r>
      <w:r>
        <w:rPr>
          <w:b w:val="0"/>
          <w:i w:val="0"/>
          <w:u w:val="none"/>
        </w:rPr>
        <w:t>应给出明确结论；数据集、外部协议、迁移等专项章节按需裁剪，不适用时简要注明原因。标题不附“必填／按需填写”等标记。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阅读与证据规则：</w:t>
      </w:r>
      <w:r>
        <w:rPr>
          <w:b w:val="0"/>
          <w:i w:val="0"/>
          <w:u w:val="none"/>
        </w:rPr>
        <w:t>开头说明产品入口、上下层职责和代码落点；关键字段、结论与约束适度</w:t>
      </w:r>
      <w:r>
        <w:rPr>
          <w:b/>
          <w:i w:val="0"/>
          <w:u w:val="none"/>
        </w:rPr>
        <w:t>加粗</w:t>
      </w:r>
      <w:r>
        <w:rPr>
          <w:b w:val="0"/>
          <w:i w:val="0"/>
          <w:u w:val="none"/>
        </w:rPr>
        <w:t>，说明和限制用</w:t>
      </w:r>
      <w:r>
        <w:rPr>
          <w:b w:val="0"/>
          <w:i/>
          <w:u w:val="none"/>
        </w:rPr>
        <w:t>斜体</w:t>
      </w:r>
      <w:r>
        <w:rPr>
          <w:b w:val="0"/>
          <w:i w:val="0"/>
          <w:u w:val="none"/>
        </w:rPr>
        <w:t>。架构、执行／状态和验收流程在文字不易理解时配图，图旁写清结论。区分</w:t>
      </w:r>
      <w:r>
        <w:rPr>
          <w:b/>
          <w:i w:val="0"/>
          <w:u w:val="none"/>
        </w:rPr>
        <w:t>已存在、拟新增、已修改、复用</w:t>
      </w:r>
      <w:r>
        <w:rPr>
          <w:b w:val="0"/>
          <w:i w:val="0"/>
          <w:u w:val="none"/>
        </w:rPr>
        <w:t>和</w:t>
      </w:r>
      <w:r>
        <w:rPr>
          <w:b/>
          <w:i w:val="0"/>
          <w:u w:val="none"/>
        </w:rPr>
        <w:t>待验证</w:t>
      </w:r>
      <w:r>
        <w:rPr>
          <w:b w:val="0"/>
          <w:i w:val="0"/>
          <w:u w:val="none"/>
        </w:rPr>
        <w:t>，不把设计方案或官方文档支持写成实测通过；引用资料注明版本或核对日期。</w:t>
      </w:r>
    </w:p>
    <w:p>
      <w:r>
        <w:rPr>
          <w:b w:val="0"/>
          <w:i w:val="0"/>
          <w:u w:val="none"/>
        </w:rPr>
        <w:t>文档负责人：待填写；评审人：待填写；文档状态：草稿／待评审／已通过；关联需求与代码仓库：待填写。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模板维护记录：</w:t>
      </w:r>
      <w:r>
        <w:rPr>
          <w:b w:val="0"/>
          <w:i w:val="0"/>
          <w:u w:val="none"/>
        </w:rPr>
        <w:t>2026-10-28：补充目标、异常、发布回退及风险指引。2026-10-29：根据实际详细设计的结构优化，补充产品与执行层定位、数据来源与加载、代码修改范围、外部协议兼容、量化验收口径及图示要求；保留原修订记录。以下均为通用填写框架，不预设具体项目参数和测试结果。</w:t>
      </w:r>
    </w:p>
    <w:p>
      <w:pPr>
        <w:pStyle w:val="Heading1"/>
      </w:pPr>
      <w:r>
        <w:rPr>
          <w:b w:val="0"/>
          <w:i w:val="0"/>
          <w:u w:val="none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日期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修订版本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修改描述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作者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br/>
              <w:t xml:space="preserve">          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br/>
              <w:t xml:space="preserve">          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初稿完成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</w:tr>
    </w:tbl>
    <w:p>
      <w:pPr>
        <w:pStyle w:val="Heading1"/>
      </w:pPr>
      <w:r>
        <w:rPr>
          <w:b w:val="0"/>
          <w:i w:val="0"/>
          <w:u w:val="none"/>
        </w:rPr>
        <w:t>背景与目标</w:t>
      </w:r>
    </w:p>
    <w:p>
      <w:pPr>
        <w:pStyle w:val="Heading2"/>
      </w:pPr>
      <w:r>
        <w:rPr>
          <w:b w:val="0"/>
          <w:i w:val="0"/>
          <w:u w:val="none"/>
        </w:rPr>
        <w:t>背景简介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背景介绍推荐顺序：</w:t>
      </w:r>
      <w:r>
        <w:rPr>
          <w:b w:val="0"/>
          <w:i w:val="0"/>
          <w:u w:val="none"/>
        </w:rPr>
        <w:t>产品／系统位置 → 当前问题 → 引入对象及能力 → 本次实现边界。若涉及数据集、算法或外部系统，可在背景下增加“数据集／技术对象介绍”：名称与维护方、用途与任务形态、版本、规模与分组、公开／私有或正式／诊断范围、输入输出、评估方式、官方来源；不预设具体数量与分数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填写指引：</w:t>
      </w:r>
      <w:r>
        <w:rPr>
          <w:b w:val="0"/>
          <w:i w:val="0"/>
          <w:u w:val="none"/>
        </w:rPr>
        <w:t>先说明</w:t>
      </w:r>
      <w:r>
        <w:rPr>
          <w:b/>
          <w:i w:val="0"/>
          <w:u w:val="none"/>
        </w:rPr>
        <w:t>本项目在系统中的位置</w:t>
      </w:r>
      <w:r>
        <w:rPr>
          <w:b w:val="0"/>
          <w:i w:val="0"/>
          <w:u w:val="none"/>
        </w:rPr>
        <w:t>：谁是用户入口／上层调度，谁执行任务，谁保存状态与评分／结果；本需求为哪个产品增加能力，实际改动落在哪些仓库。再说明当前问题、业务场景、受影响对象与变更动因，提供现有代码或文档依据。不要只介绍底层技术而遗漏上层产品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职责摘要：</w:t>
      </w:r>
      <w:r>
        <w:rPr>
          <w:b w:val="0"/>
          <w:i w:val="0"/>
          <w:u w:val="none"/>
        </w:rPr>
        <w:t>上层入口／调度：待填写；执行引擎／服务：待填写；本次适配或业务逻辑落点：待填写；结果展示与消费方：待填写。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需求、目标与验收标准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填写指引：</w:t>
      </w:r>
      <w:r>
        <w:rPr>
          <w:b w:val="0"/>
          <w:i w:val="0"/>
          <w:u w:val="none"/>
        </w:rPr>
        <w:t>按需求编号描述可观察的能力和可判定条件。涉及模型、设备或性能时，区分</w:t>
      </w:r>
      <w:r>
        <w:rPr>
          <w:b/>
          <w:i w:val="0"/>
          <w:u w:val="none"/>
        </w:rPr>
        <w:t>客户端运行环境、实际计算硬件、远程服务</w:t>
      </w:r>
      <w:r>
        <w:rPr>
          <w:b w:val="0"/>
          <w:i w:val="0"/>
          <w:u w:val="none"/>
        </w:rPr>
        <w:t>；涉及基准时写明数据版本、全集／子集和计分范围。验收阈值必须给出指标定义、分子分母、单位、比较方向、边界是否包含及统计方式，不能只写“差异小于某百分比”。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验收口径：</w:t>
      </w:r>
      <w:r>
        <w:rPr>
          <w:b w:val="0"/>
          <w:i w:val="0"/>
          <w:u w:val="none"/>
        </w:rPr>
        <w:t>参考基线及来源：待填写；单次／多次运行与次数：待填写；聚合方法：待填写；绝对差／相对差及公式：待填写；错误、缺失、超时和重试计入方式：待填写；实验分组和禁止混合项：待填写。保留原始精度后再展示，禁止择优挑选运行结果；有歧义的条件列入待确认事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i w:val="0"/>
                <w:u w:val="none"/>
              </w:rPr>
              <w:t>需求编号</w:t>
            </w:r>
          </w:p>
        </w:tc>
        <w:tc>
          <w:tcPr>
            <w:tcW w:type="dxa" w:w="3024"/>
          </w:tcPr>
          <w:p>
            <w:r>
              <w:rPr>
                <w:b/>
                <w:i w:val="0"/>
                <w:u w:val="none"/>
              </w:rPr>
              <w:t>需求／设计目标</w:t>
            </w:r>
          </w:p>
        </w:tc>
        <w:tc>
          <w:tcPr>
            <w:tcW w:type="dxa" w:w="3024"/>
          </w:tcPr>
          <w:p>
            <w:r>
              <w:rPr>
                <w:b/>
                <w:i w:val="0"/>
                <w:u w:val="none"/>
              </w:rPr>
              <w:t>验收标准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i w:val="0"/>
                <w:u w:val="none"/>
              </w:rPr>
              <w:t>REQ-001</w:t>
            </w:r>
          </w:p>
        </w:tc>
        <w:tc>
          <w:tcPr>
            <w:tcW w:type="dxa" w:w="302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302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</w:tr>
    </w:tbl>
    <w:p>
      <w:pPr>
        <w:pStyle w:val="Heading2"/>
      </w:pPr>
      <w:r>
        <w:rPr>
          <w:b w:val="0"/>
          <w:i w:val="0"/>
          <w:u w:val="none"/>
        </w:rPr>
        <w:t>范围、非目标与约束</w:t>
      </w:r>
    </w:p>
    <w:p>
      <w:r>
        <w:rPr>
          <w:b w:val="0"/>
          <w:i w:val="0"/>
          <w:u w:val="none"/>
        </w:rPr>
        <w:t>填写说明：列出本次包含与不包含的功能、系统边界、外部依赖，以及版本、时间和资源等限制。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1"/>
      </w:pPr>
      <w:r>
        <w:rPr>
          <w:b w:val="0"/>
          <w:i w:val="0"/>
          <w:u w:val="none"/>
        </w:rPr>
        <w:t>整体架构与关键数据流</w:t>
      </w:r>
    </w:p>
    <w:p>
      <w:pPr>
        <w:pStyle w:val="Heading2"/>
      </w:pPr>
      <w:r>
        <w:rPr>
          <w:b w:val="0"/>
          <w:i w:val="0"/>
          <w:u w:val="none"/>
        </w:rPr>
        <w:t>整体架构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填写指引：</w:t>
      </w:r>
      <w:r>
        <w:rPr>
          <w:b w:val="0"/>
          <w:i w:val="0"/>
          <w:u w:val="none"/>
        </w:rPr>
        <w:t>提供系统架构图或模块关系图，标出</w:t>
      </w:r>
      <w:r>
        <w:rPr>
          <w:b/>
          <w:i w:val="0"/>
          <w:u w:val="none"/>
        </w:rPr>
        <w:t>上层调用入口 → 调度 → 执行／运行时 → 数据／状态 → 验证与结果</w:t>
      </w:r>
      <w:r>
        <w:rPr>
          <w:b w:val="0"/>
          <w:i w:val="0"/>
          <w:u w:val="none"/>
        </w:rPr>
        <w:t>的真实方向，以及本次新增、修改和复用的部分。明确调用采用 Python API、HTTP、CLI 子进程或消息队列中的哪一种；说明进程、容器、服务及业务状态的边界，不把同名“环境”概念混为一层。图与现有源码保持一致。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关键数据流与交互</w:t>
      </w:r>
    </w:p>
    <w:p>
      <w:r>
        <w:rPr>
          <w:b w:val="0"/>
          <w:i w:val="0"/>
          <w:u w:val="none"/>
        </w:rPr>
        <w:t>填写说明：说明数据来源、处理过程、存储位置、最终输出及失败去向；跨模块交互按需补充时序图，异步处理注明触发条件和完成信号。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1"/>
      </w:pPr>
      <w:r>
        <w:rPr>
          <w:b w:val="0"/>
          <w:i w:val="0"/>
          <w:u w:val="none"/>
        </w:rPr>
        <w:t>方案设计</w:t>
      </w:r>
    </w:p>
    <w:p>
      <w:pPr>
        <w:pStyle w:val="Heading2"/>
      </w:pPr>
      <w:r>
        <w:rPr>
          <w:b w:val="0"/>
          <w:i w:val="0"/>
          <w:u w:val="none"/>
        </w:rPr>
        <w:t>代码结构与修改范围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填写指引：</w:t>
      </w:r>
      <w:r>
        <w:rPr>
          <w:b w:val="0"/>
          <w:i w:val="0"/>
          <w:u w:val="none"/>
        </w:rPr>
        <w:t>按仓库列出与本需求直接有关的目录树，在文件后标注</w:t>
      </w:r>
      <w:r>
        <w:rPr>
          <w:b/>
          <w:i w:val="0"/>
          <w:u w:val="none"/>
        </w:rPr>
        <w:t>新增／修改／复用</w:t>
      </w:r>
      <w:r>
        <w:rPr>
          <w:b w:val="0"/>
          <w:i w:val="0"/>
          <w:u w:val="none"/>
        </w:rPr>
        <w:t>及职责；区分已有文件与拟交付文件。多仓库项目说明每个仓库承担的职责、依赖版本和安装环境。目录树与下表使用相同分类，避免一处说复用、一处要求修改。</w:t>
      </w:r>
    </w:p>
    <w:p>
      <w:r>
        <w:rPr>
          <w:rFonts w:ascii="Consolas" w:hAnsi="Consolas"/>
          <w:sz w:val="18"/>
        </w:rPr>
        <w:br/>
        <w:t xml:space="preserve">    仓库A/</w:t>
        <w:br/>
        <w:t>├── 入口或配置文件          [修改] 参数与路由</w:t>
        <w:br/>
        <w:t>├── 新模块/                [新增] 业务适配</w:t>
        <w:br/>
        <w:t>└── tests/                 [新增／修改] 对应测试</w:t>
        <w:br/>
        <w:t>仓库B/</w:t>
        <w:br/>
        <w:t>└── 集成或展示模块          [修改／复用] 上下层连接</w:t>
        <w:br/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仓库／路径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处理方式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职责与具体改动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影响及验证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新增／修改／复用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入口、输入输出、调用方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兼容范围、测试位置</w:t>
            </w:r>
          </w:p>
        </w:tc>
      </w:tr>
    </w:tbl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范围约束：</w:t>
      </w:r>
      <w:r>
        <w:rPr>
          <w:b w:val="0"/>
          <w:i w:val="0"/>
          <w:u w:val="none"/>
        </w:rPr>
        <w:t>列出不改动的公共接口与默认行为及理由；扩展采用独立模块、子类还是核心接口调整，应说明选择依据。确需调整范围时同步更新目录树、接口、测试及交付清单。</w:t>
      </w:r>
    </w:p>
    <w:p>
      <w:pPr>
        <w:pStyle w:val="Heading2"/>
      </w:pPr>
      <w:r>
        <w:rPr>
          <w:b w:val="0"/>
          <w:i w:val="0"/>
          <w:u w:val="none"/>
        </w:rPr>
        <w:t>数据来源、获取与加载适配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适用范围：</w:t>
      </w:r>
      <w:r>
        <w:rPr>
          <w:b w:val="0"/>
          <w:i w:val="0"/>
          <w:u w:val="none"/>
        </w:rPr>
        <w:t>数据集、文件导入、任务转换或外部数据接入；无此类处理可注明不适用。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数据获取：</w:t>
      </w:r>
      <w:r>
        <w:rPr>
          <w:b w:val="0"/>
          <w:i w:val="0"/>
          <w:u w:val="none"/>
        </w:rPr>
        <w:t>区分官方语义来源、分发镜像和本地缓存。国内部署优先核验 ModelScope 或其他实际可用的国内渠道，支持离线导入；记录仓库 ID、固定 revision／commit、哈希与许可。未核实的镜像明确写待确认，不虚构地址。说明凭证、缓存、失败重试及是否允许切换来源；运行阶段所需资源提前准备。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加载流程：</w:t>
      </w:r>
      <w:r>
        <w:rPr>
          <w:b w:val="0"/>
          <w:i w:val="0"/>
          <w:u w:val="none"/>
        </w:rPr>
        <w:t>来源获取 → 原始副本与版本校验 → 解析／归一化 → 字段校验 → 确定性筛选 → 转换与落盘 → 运行框架发现 → 集合完整性核对。标明每一步的代码落点、失败去向和正式／子集标签；保留原始 ID 与来源，列出递归扫描、目录层级、空值和重复项的实际规则。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原始字段／资源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类型与校验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转换规则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目标文件／字段与消费方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必需性、空值、唯一性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保留／映射／派生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位置、可见范围、加载模块</w:t>
            </w:r>
          </w:p>
        </w:tc>
      </w:tr>
    </w:tbl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完整性验证：</w:t>
      </w:r>
      <w:r>
        <w:rPr>
          <w:b w:val="0"/>
          <w:i w:val="0"/>
          <w:u w:val="none"/>
        </w:rPr>
        <w:t>核对来源记录、转换清单与实际加载集合；说明训练／验证／测试或公开／私有划分，避免数据泄漏与评分输入暴露。模型权重、数据集、运行时依赖和容器镜像分别描述，不因某渠道支持数据下载就假设其支持所有资源类型。</w:t>
      </w:r>
    </w:p>
    <w:p>
      <w:pPr>
        <w:pStyle w:val="Heading2"/>
      </w:pPr>
      <w:r>
        <w:rPr>
          <w:b w:val="0"/>
          <w:i w:val="0"/>
          <w:u w:val="none"/>
        </w:rPr>
        <w:t>模块设计</w:t>
      </w:r>
    </w:p>
    <w:p>
      <w:r>
        <w:rPr>
          <w:b w:val="0"/>
          <w:i w:val="0"/>
          <w:u w:val="none"/>
        </w:rPr>
        <w:t>填写说明：按模块列出职责、入口、输入输出和依赖，说明复用、新增与修改的内容；复杂模块可重复本节结构。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接口与数据结构</w:t>
      </w:r>
    </w:p>
    <w:p>
      <w:pPr>
        <w:pStyle w:val="Heading3"/>
      </w:pPr>
      <w:r>
        <w:rPr>
          <w:b w:val="0"/>
          <w:i w:val="0"/>
          <w:u w:val="none"/>
        </w:rPr>
        <w:t>外部系统与协议兼容性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适用范围：</w:t>
      </w:r>
      <w:r>
        <w:rPr>
          <w:b w:val="0"/>
          <w:i w:val="0"/>
          <w:u w:val="none"/>
        </w:rPr>
        <w:t>第三方 API、模型服务、SDK、Agent、插件或跨框架集成。</w:t>
      </w:r>
      <w:r>
        <w:rPr>
          <w:b/>
          <w:i w:val="0"/>
          <w:u w:val="none"/>
        </w:rPr>
        <w:t>鉴权通过、协议支持、配置可传递和业务闭环通过分别验证</w:t>
      </w:r>
      <w:r>
        <w:rPr>
          <w:b w:val="0"/>
          <w:i w:val="0"/>
          <w:u w:val="none"/>
        </w:rPr>
        <w:t>；工具连接协议与模型接口协议分别说明。先查官方支持和本地源码，再决定是否需要适配层。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调用方／版本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目标接口／协议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鉴权与路由配置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主要差异／限制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证据与验证状态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实际 URL／方法／SDK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变量名、参数映射，不含密钥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消息、工具、流式、历史、停止与重试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官方支持／代码可配置／联调通过；版本与来源</w:t>
            </w:r>
          </w:p>
        </w:tc>
      </w:tr>
    </w:tbl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专项核对：</w:t>
      </w:r>
      <w:r>
        <w:rPr>
          <w:b w:val="0"/>
          <w:i w:val="0"/>
          <w:u w:val="none"/>
        </w:rPr>
        <w:t>请求与响应字段、调用 ID 关联、会话历史／状态保存、流式终态、错误、参数被忽略或重映射、模型别名与快照。首次调用成功不替代多步工具／业务闭环测试；不兼容时说明阻塞条件和补救方案，禁止静默换模型、服务或版本。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填写指引：</w:t>
      </w:r>
      <w:r>
        <w:rPr>
          <w:b w:val="0"/>
          <w:i w:val="0"/>
          <w:u w:val="none"/>
        </w:rPr>
        <w:t>按真实 API、函数、文件或命令定义输入输出，说明字段类型、必填／默认、校验、错误与兼容策略。写清</w:t>
      </w:r>
      <w:r>
        <w:rPr>
          <w:b/>
          <w:i w:val="0"/>
          <w:u w:val="none"/>
        </w:rPr>
        <w:t>上层配置 → 适配层 → 实际请求／执行参数</w:t>
      </w:r>
      <w:r>
        <w:rPr>
          <w:b w:val="0"/>
          <w:i w:val="0"/>
          <w:u w:val="none"/>
        </w:rPr>
        <w:t>的传递关系和覆盖优先级。拟新增接口标明设计状态；未验证示例不标为当前可直接执行。外部协议兼容性使用下方专项表。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接口／结构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字段／参数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类型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必填／默认值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约束与含义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</w:tr>
    </w:tbl>
    <w:p>
      <w:pPr>
        <w:pStyle w:val="Heading2"/>
      </w:pPr>
      <w:r>
        <w:rPr>
          <w:b w:val="0"/>
          <w:i w:val="0"/>
          <w:u w:val="none"/>
        </w:rPr>
        <w:t>关键流程与状态变化</w:t>
      </w:r>
    </w:p>
    <w:p>
      <w:r>
        <w:rPr>
          <w:b w:val="0"/>
          <w:i w:val="0"/>
          <w:u w:val="none"/>
        </w:rPr>
        <w:t>填写说明：逐步描述主流程、分支条件和终止条件；涉及状态的功能列明状态、触发事件、允许的转换及非法转换处理，按需附流程图或状态图。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异常处理与边界条件</w:t>
      </w:r>
    </w:p>
    <w:p>
      <w:r>
        <w:rPr>
          <w:b w:val="0"/>
          <w:i w:val="0"/>
          <w:u w:val="none"/>
        </w:rPr>
        <w:t>填写说明：逐项检查空输入、非法输入、超时、依赖失败、重试、重复执行、并发、数据一致性和资源释放；不适用项写明原因。重试需说明次数、间隔及幂等策略。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异常／边界场景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检测方式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处理与恢复策略</w:t>
            </w:r>
          </w:p>
        </w:tc>
        <w:tc>
          <w:tcPr>
            <w:tcW w:type="dxa" w:w="2268"/>
          </w:tcPr>
          <w:p>
            <w:r>
              <w:rPr>
                <w:b/>
                <w:i w:val="0"/>
                <w:u w:val="none"/>
              </w:rPr>
              <w:t>对调用方／数据的影响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</w:tr>
    </w:tbl>
    <w:p>
      <w:pPr>
        <w:pStyle w:val="Heading2"/>
      </w:pPr>
      <w:r>
        <w:rPr>
          <w:b w:val="0"/>
          <w:i w:val="0"/>
          <w:u w:val="none"/>
        </w:rPr>
        <w:t>方案取舍与已知限制</w:t>
      </w:r>
    </w:p>
    <w:p>
      <w:r>
        <w:rPr>
          <w:b w:val="0"/>
          <w:i w:val="0"/>
          <w:u w:val="none"/>
        </w:rPr>
        <w:t>填写说明：记录重要设计决策、备选方案、比较维度和选择理由；简单变更无备选方案时说明原因，并列出已知限制。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性能、容量与安全</w:t>
      </w:r>
    </w:p>
    <w:p>
      <w:r>
        <w:rPr>
          <w:b w:val="0"/>
          <w:i w:val="0"/>
          <w:u w:val="none"/>
        </w:rPr>
        <w:t>填写说明：涉及性能或敏感数据时，补充预期数据量、并发量、资源消耗、权限边界、敏感信息处理与日志脱敏；不适用时说明原因。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1"/>
      </w:pPr>
      <w:r>
        <w:rPr>
          <w:b w:val="0"/>
          <w:i w:val="0"/>
          <w:u w:val="none"/>
        </w:rPr>
        <w:t>使用说明</w:t>
      </w:r>
    </w:p>
    <w:p>
      <w:pPr>
        <w:pStyle w:val="Heading2"/>
      </w:pPr>
      <w:r>
        <w:rPr>
          <w:b w:val="0"/>
          <w:i w:val="0"/>
          <w:u w:val="none"/>
        </w:rPr>
        <w:t>前置条件</w:t>
      </w:r>
    </w:p>
    <w:p>
      <w:r>
        <w:rPr>
          <w:b w:val="0"/>
          <w:i w:val="0"/>
          <w:u w:val="none"/>
        </w:rPr>
        <w:t>填写说明：列出环境与版本、依赖、配置项、所需权限及输入数据准备方式；凭证仅写获取方式，不填真实密钥。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操作步骤与命令行执行</w:t>
      </w:r>
    </w:p>
    <w:p>
      <w:r>
        <w:rPr>
          <w:b w:val="0"/>
          <w:i w:val="0"/>
          <w:u w:val="none"/>
        </w:rPr>
        <w:t>填写说明：按实际使用方式提供最小可运行示例、参数说明及预期结果；无命令行的项目填写界面或接口调用步骤。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扩展配置与后处理器切换</w:t>
      </w:r>
    </w:p>
    <w:p>
      <w:r>
        <w:rPr>
          <w:b w:val="0"/>
          <w:i w:val="0"/>
          <w:u w:val="none"/>
        </w:rPr>
        <w:t>填写说明：适用于存在插件、策略或后处理器切换的项目；说明可选项、默认行为、切换步骤、兼容限制与验证方法。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输出结果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填写指引：</w:t>
      </w:r>
      <w:r>
        <w:rPr>
          <w:b w:val="0"/>
          <w:i w:val="0"/>
          <w:u w:val="none"/>
        </w:rPr>
        <w:t>给出成功、业务失败和基础设施错误的结果示例，标明文件／目录、格式、schema 版本、关键字段与完成信号。区分</w:t>
      </w:r>
      <w:r>
        <w:rPr>
          <w:b/>
          <w:i w:val="0"/>
          <w:u w:val="none"/>
        </w:rPr>
        <w:t>原始日志、过程轨迹、状态快照、评分报告和展示汇总</w:t>
      </w:r>
      <w:r>
        <w:rPr>
          <w:b w:val="0"/>
          <w:i w:val="0"/>
          <w:u w:val="none"/>
        </w:rPr>
        <w:t>；说明各自生产与消费模块。实时统计与最终报告的分母或过滤规则若不同，明确哪个用于验收；错误／缺失结果不得静默消失。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1"/>
      </w:pPr>
      <w:r>
        <w:rPr>
          <w:b w:val="0"/>
          <w:i w:val="0"/>
          <w:u w:val="none"/>
        </w:rPr>
        <w:t>测试设计</w:t>
      </w:r>
    </w:p>
    <w:p>
      <w:pPr>
        <w:pStyle w:val="Heading2"/>
      </w:pPr>
      <w:r>
        <w:rPr>
          <w:b w:val="0"/>
          <w:i w:val="0"/>
          <w:u w:val="none"/>
        </w:rPr>
        <w:t>测试结构总览</w:t>
      </w:r>
    </w:p>
    <w:p>
      <w:r>
        <w:rPr>
          <w:b w:val="0"/>
          <w:i w:val="0"/>
          <w:u w:val="none"/>
        </w:rPr>
        <w:t>填写说明：说明单元、集成与端到端测试的职责划分、测试环境、测试数据和外部依赖替代方式，按项目规模裁剪。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需求与测试用例对应</w:t>
      </w:r>
    </w:p>
    <w:p>
      <w:r>
        <w:rPr>
          <w:b w:val="0"/>
          <w:i w:val="0"/>
          <w:u w:val="none"/>
        </w:rPr>
        <w:t>填写说明：每条需求关联至少一个验证用例；覆盖正常、异常和边界场景，预期结果应具体且可判定。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需求编号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用例编号／场景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前置条件与输入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执行步骤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预期结果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REQ-001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TC-001／待填写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</w:tr>
    </w:tbl>
    <w:p>
      <w:pPr>
        <w:pStyle w:val="Heading2"/>
      </w:pPr>
      <w:r>
        <w:rPr>
          <w:b w:val="0"/>
          <w:i w:val="0"/>
          <w:u w:val="none"/>
        </w:rPr>
        <w:t>运行测试</w:t>
      </w:r>
    </w:p>
    <w:p>
      <w:pPr>
        <w:pStyle w:val="Heading3"/>
      </w:pPr>
      <w:r>
        <w:rPr>
          <w:b w:val="0"/>
          <w:i w:val="0"/>
          <w:u w:val="none"/>
        </w:rPr>
        <w:t>验收执行与证据清单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/>
          <w:i w:val="0"/>
          <w:u w:val="none"/>
        </w:rPr>
        <w:t>建议流程：</w:t>
      </w:r>
      <w:r>
        <w:rPr>
          <w:b w:val="0"/>
          <w:i w:val="0"/>
          <w:u w:val="none"/>
        </w:rPr>
        <w:t>冻结数据／依赖／配置 → 连接与业务闭环冒烟 → 执行预定次数的完整测试 → 检查缺失／错误及实际范围 → 按约定公式聚合 → 与同口径基线比较 → 输出验收结论。跨硬件、模型、协议、执行模式的结果分别标记；图示采用架构图、时序／状态图、验收流程图中的必要类型，不放空白图占位。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i w:val="0"/>
                <w:u w:val="none"/>
              </w:rPr>
              <w:t>证据项</w:t>
            </w:r>
          </w:p>
        </w:tc>
        <w:tc>
          <w:tcPr>
            <w:tcW w:type="dxa" w:w="4536"/>
          </w:tcPr>
          <w:p>
            <w:r>
              <w:rPr>
                <w:b/>
                <w:i w:val="0"/>
                <w:u w:val="none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代码与依赖</w:t>
            </w:r>
          </w:p>
        </w:tc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仓库 commit、SDK／CLI／镜像版本及哈希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数据与模型／服务</w:t>
            </w:r>
          </w:p>
        </w:tc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数据清单、子集、模型快照证据、接口协议与调用时间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运行条件</w:t>
            </w:r>
          </w:p>
        </w:tc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客户端与服务端硬件边界、并发、预算、采样、次数、重试／恢复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原始结果与汇总</w:t>
            </w:r>
          </w:p>
        </w:tc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逐项结果、错误、过程证据、未舍入指标、公式与基线来源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结论</w:t>
            </w:r>
          </w:p>
        </w:tc>
        <w:tc>
          <w:tcPr>
            <w:tcW w:type="dxa" w:w="4536"/>
          </w:tcPr>
          <w:p>
            <w:r>
              <w:rPr>
                <w:b w:val="0"/>
                <w:i w:val="0"/>
                <w:u w:val="none"/>
              </w:rPr>
              <w:t>通过／失败／阻塞／未执行；报告链接、负责人及残余风险</w:t>
            </w:r>
          </w:p>
        </w:tc>
      </w:tr>
    </w:tbl>
    <w:p>
      <w:r>
        <w:rPr>
          <w:b w:val="0"/>
          <w:i w:val="0"/>
          <w:u w:val="none"/>
        </w:rPr>
        <w:t>填写说明：列出环境准备、执行命令或操作步骤、结果查看方式与通过标准，使其他人能够复现。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覆盖情况与验证结论</w:t>
      </w:r>
    </w:p>
    <w:p>
      <w:r>
        <w:rPr>
          <w:b w:val="0"/>
          <w:i w:val="0"/>
          <w:u w:val="none"/>
        </w:rPr>
        <w:br/>
        <w:t xml:space="preserve">    </w:t>
      </w:r>
      <w:r>
        <w:rPr>
          <w:b w:val="0"/>
          <w:i/>
          <w:u w:val="none"/>
        </w:rPr>
        <w:t>填写指引：</w:t>
      </w:r>
      <w:r>
        <w:rPr>
          <w:b w:val="0"/>
          <w:i w:val="0"/>
          <w:u w:val="none"/>
        </w:rPr>
        <w:t>设计阶段填写计划覆盖与待验证项；实施后填入真实代码版本、环境、测试报告和实际结论。区分</w:t>
      </w:r>
      <w:r>
        <w:rPr>
          <w:b/>
          <w:i w:val="0"/>
          <w:u w:val="none"/>
        </w:rPr>
        <w:t>资料说明支持、代码具备配置能力、联调通过、完整场景验收通过</w:t>
      </w:r>
      <w:r>
        <w:rPr>
          <w:b w:val="0"/>
          <w:i w:val="0"/>
          <w:u w:val="none"/>
        </w:rPr>
        <w:t>，分别注明证据。未执行不写通过，覆盖率不能替代需求覆盖；记录残余风险与未覆盖原因。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1"/>
      </w:pPr>
      <w:r>
        <w:rPr>
          <w:b w:val="0"/>
          <w:i w:val="0"/>
          <w:u w:val="none"/>
        </w:rPr>
        <w:t>发布与回退</w:t>
      </w:r>
    </w:p>
    <w:p>
      <w:pPr>
        <w:pStyle w:val="Heading2"/>
      </w:pPr>
      <w:r>
        <w:rPr>
          <w:b w:val="0"/>
          <w:i w:val="0"/>
          <w:u w:val="none"/>
        </w:rPr>
        <w:t>发布步骤与兼容性</w:t>
      </w:r>
    </w:p>
    <w:p>
      <w:r>
        <w:rPr>
          <w:b w:val="0"/>
          <w:i w:val="0"/>
          <w:u w:val="none"/>
        </w:rPr>
        <w:t>填写说明：描述发布顺序、依赖版本、配置变更、兼容范围和发布前检查；仅本地交付的工具说明版本分发与替换方式。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数据迁移</w:t>
      </w:r>
    </w:p>
    <w:p>
      <w:r>
        <w:rPr>
          <w:b w:val="0"/>
          <w:i w:val="0"/>
          <w:u w:val="none"/>
        </w:rPr>
        <w:t>填写说明：涉及数据库或存量文件变更时，说明迁移步骤、备份、兼容窗口、失败恢复与结果核对方式。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运行观测与发布后验证</w:t>
      </w:r>
    </w:p>
    <w:p>
      <w:r>
        <w:rPr>
          <w:b w:val="0"/>
          <w:i w:val="0"/>
          <w:u w:val="none"/>
        </w:rPr>
        <w:t>填写说明：列出关键日志、指标或结果检查项，明确正常标准、验证时间窗口和负责人；服务类项目按需补充告警阈值。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2"/>
      </w:pPr>
      <w:r>
        <w:rPr>
          <w:b w:val="0"/>
          <w:i w:val="0"/>
          <w:u w:val="none"/>
        </w:rPr>
        <w:t>回退与恢复</w:t>
      </w:r>
    </w:p>
    <w:p>
      <w:r>
        <w:rPr>
          <w:b w:val="0"/>
          <w:i w:val="0"/>
          <w:u w:val="none"/>
        </w:rPr>
        <w:t>填写说明：明确回退触发条件、操作步骤、负责人和恢复验证方法；若数据变更不可直接回退，说明备份恢复或补偿方案。</w:t>
      </w:r>
    </w:p>
    <w:p>
      <w:r>
        <w:rPr>
          <w:b w:val="0"/>
          <w:i w:val="0"/>
          <w:u w:val="none"/>
        </w:rPr>
        <w:t>待填写：</w:t>
      </w:r>
    </w:p>
    <w:p>
      <w:pPr>
        <w:pStyle w:val="Heading1"/>
      </w:pPr>
      <w:r>
        <w:rPr>
          <w:b w:val="0"/>
          <w:i w:val="0"/>
          <w:u w:val="none"/>
        </w:rPr>
        <w:t>待确认事项与风险</w:t>
      </w:r>
    </w:p>
    <w:p>
      <w:r>
        <w:rPr>
          <w:b w:val="0"/>
          <w:i w:val="0"/>
          <w:u w:val="none"/>
        </w:rPr>
        <w:t>填写说明：无待确认项时写“无”；存在风险时记录其影响、应对方式、负责人、期限和当前状态。阻塞项需在实施或发布前明确结论。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事项／风险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影响与应对方式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负责人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解决期限</w:t>
            </w:r>
          </w:p>
        </w:tc>
        <w:tc>
          <w:tcPr>
            <w:tcW w:type="dxa" w:w="1814"/>
          </w:tcPr>
          <w:p>
            <w:r>
              <w:rPr>
                <w:b/>
                <w:i w:val="0"/>
                <w:u w:val="none"/>
              </w:rPr>
              <w:t>状态／结论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待填写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u w:val="none"/>
              </w:rPr>
              <w:t>待确认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7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17365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7365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