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line="288" w:lineRule="auto" w:before="480" w:after="480"/>
      </w:pPr>
      <w:r>
        <w:rPr>
          <w:rFonts w:ascii="Arial" w:hAnsi="Arial" w:cs="Arial" w:eastAsia="等线"/>
          <w:b w:val="1"/>
          <w:i w:val="0"/>
          <w:u w:val="none"/>
          <w:sz w:val="52"/>
          <w:szCs w:val="52"/>
        </w:rPr>
        <w:t>【模板】详细设计文档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模板使用说明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复制本模板后，按项目实际填写并删除说明性占位。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背景、目标与验收、架构、代码范围、模块接口、异常处理、使用与测试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应给出明确结论；数据集、外部协议、迁移等专项章节按需裁剪，不适用时简要注明原因。标题不附“必填／按需填写”等标记。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阅读与证据规则：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开头说明产品入口、上下层职责和代码落点；关键字段、结论与约束适度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加粗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，说明和限制用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斜体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。架构、执行／状态和验收流程在文字不易理解时配图，图旁写清结论。区分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已存在、拟新增、已修改、复用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和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待验证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，不把设计方案或官方文档支持写成实测通过；引用资料注明版本或核对日期。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文档负责人：待填写；评审人：待填写；文档状态：草稿／待评审／已通过；关联需求与代码仓库：待填写。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模板维护记录：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2026-10-28：补充目标、异常、发布回退及风险指引。2026-10-29：根据实际详细设计的结构优化，补充产品与执行层定位、数据来源与加载、代码修改范围、外部协议兼容、量化验收口径及图示要求；保留原修订记录。以下均为通用填写框架，不预设具体项目参数和测试结果。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日期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修订版本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修改描述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作者</w:t>
            </w:r>
          </w:p>
        </w:tc>
      </w:tr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br/>
              <w:t xml:space="preserve">          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br/>
              <w:t xml:space="preserve">          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初稿完成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</w:tr>
    </w:tbl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背景与目标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背景简介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背景介绍推荐顺序：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产品／系统位置 → 当前问题 → 引入对象及能力 → 本次实现边界。若涉及数据集、算法或外部系统，可在背景下增加“数据集／技术对象介绍”：名称与维护方、用途与任务形态、版本、规模与分组、公开／私有或正式／诊断范围、输入输出、评估方式、官方来源；不预设具体数量与分数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填写指引：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先说明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本项目在系统中的位置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：谁是用户入口／上层调度，谁执行任务，谁保存状态与评分／结果；本需求为哪个产品增加能力，实际改动落在哪些仓库。再说明当前问题、业务场景、受影响对象与变更动因，提供现有代码或文档依据。不要只介绍底层技术而遗漏上层产品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职责摘要：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上层入口／调度：待填写；执行引擎／服务：待填写；本次适配或业务逻辑落点：待填写；结果展示与消费方：待填写。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需求、目标与验收标准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填写指引：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按需求编号描述可观察的能力和可判定条件。涉及模型、设备或性能时，区分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客户端运行环境、实际计算硬件、远程服务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；涉及基准时写明数据版本、全集／子集和计分范围。验收阈值必须给出指标定义、分子分母、单位、比较方向、边界是否包含及统计方式，不能只写“差异小于某百分比”。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验收口径：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参考基线及来源：待填写；单次／多次运行与次数：待填写；聚合方法：待填写；绝对差／相对差及公式：待填写；错误、缺失、超时和重试计入方式：待填写；实验分组和禁止混合项：待填写。保留原始精度后再展示，禁止择优挑选运行结果；有歧义的条件列入待确认事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需求编号</w:t>
            </w:r>
          </w:p>
        </w:tc>
        <w:tc>
          <w:tcPr>
            <w:tcW w:type="dxa" w:w="302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需求／设计目标</w:t>
            </w:r>
          </w:p>
        </w:tc>
        <w:tc>
          <w:tcPr>
            <w:tcW w:type="dxa" w:w="302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验收标准</w:t>
            </w:r>
          </w:p>
        </w:tc>
      </w:tr>
      <w:tr>
        <w:tc>
          <w:tcPr>
            <w:tcW w:type="dxa" w:w="302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REQ-001</w:t>
            </w:r>
          </w:p>
        </w:tc>
        <w:tc>
          <w:tcPr>
            <w:tcW w:type="dxa" w:w="302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302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</w:tr>
    </w:tbl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范围、非目标与约束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填写说明：列出本次包含与不包含的功能、系统边界、外部依赖，以及版本、时间和资源等限制。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整体架构与关键数据流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整体架构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填写指引：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提供系统架构图或模块关系图，标出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上层调用入口 → 调度 → 执行／运行时 → 数据／状态 → 验证与结果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的真实方向，以及本次新增、修改和复用的部分。明确调用采用 Python API、HTTP、CLI 子进程或消息队列中的哪一种；说明进程、容器、服务及业务状态的边界，不把同名“环境”概念混为一层。图与现有源码保持一致。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关键数据流与交互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填写说明：说明数据来源、处理过程、存储位置、最终输出及失败去向；跨模块交互按需补充时序图，异步处理注明触发条件和完成信号。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方案设计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代码结构与修改范围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填写指引：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按仓库列出与本需求直接有关的目录树，在文件后标注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新增／修改／复用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及职责；区分已有文件与拟交付文件。多仓库项目说明每个仓库承担的职责、依赖版本和安装环境。目录树与下表使用相同分类，避免一处说复用、一处要求修改。</w:t>
      </w:r>
    </w:p>
    <w:p>
      <w:pPr>
        <w:spacing w:line="288" w:lineRule="auto"/>
      </w:pPr>
      <w:r>
        <w:rPr>
          <w:rFonts w:ascii="Consolas" w:hAnsi="Consolas" w:cs="Consolas" w:eastAsia="等线"/>
          <w:sz w:val="20"/>
          <w:szCs w:val="20"/>
        </w:rPr>
        <w:br/>
        <w:t xml:space="preserve">    仓库A/</w:t>
        <w:br/>
        <w:t>├── 入口或配置文件          [修改] 参数与路由</w:t>
        <w:br/>
        <w:t>├── 新模块/                [新增] 业务适配</w:t>
        <w:br/>
        <w:t>└── tests/                 [新增／修改] 对应测试</w:t>
        <w:br/>
        <w:t>仓库B/</w:t>
        <w:br/>
        <w:t>└── 集成或展示模块          [修改／复用] 上下层连接</w:t>
        <w:br/>
        <w:t xml:space="preserve">  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仓库／路径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处理方式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职责与具体改动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影响及验证</w:t>
            </w:r>
          </w:p>
        </w:tc>
      </w:tr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新增／修改／复用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入口、输入输出、调用方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兼容范围、测试位置</w:t>
            </w:r>
          </w:p>
        </w:tc>
      </w:tr>
    </w:tbl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范围约束：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列出不改动的公共接口与默认行为及理由；扩展采用独立模块、子类还是核心接口调整，应说明选择依据。确需调整范围时同步更新目录树、接口、测试及交付清单。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数据来源、获取与加载适配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适用范围：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数据集、文件导入、任务转换或外部数据接入；无此类处理可注明不适用。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数据获取：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区分官方语义来源、分发镜像和本地缓存。国内部署优先核验 ModelScope 或其他实际可用的国内渠道，支持离线导入；记录仓库 ID、固定 revision／commit、哈希与许可。未核实的镜像明确写待确认，不虚构地址。说明凭证、缓存、失败重试及是否允许切换来源；运行阶段所需资源提前准备。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加载流程：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来源获取 → 原始副本与版本校验 → 解析／归一化 → 字段校验 → 确定性筛选 → 转换与落盘 → 运行框架发现 → 集合完整性核对。标明每一步的代码落点、失败去向和正式／子集标签；保留原始 ID 与来源，列出递归扫描、目录层级、空值和重复项的实际规则。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原始字段／资源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类型与校验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转换规则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目标文件／字段与消费方</w:t>
            </w:r>
          </w:p>
        </w:tc>
      </w:tr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必需性、空值、唯一性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保留／映射／派生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位置、可见范围、加载模块</w:t>
            </w:r>
          </w:p>
        </w:tc>
      </w:tr>
    </w:tbl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完整性验证：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核对来源记录、转换清单与实际加载集合；说明训练／验证／测试或公开／私有划分，避免数据泄漏与评分输入暴露。模型权重、数据集、运行时依赖和容器镜像分别描述，不因某渠道支持数据下载就假设其支持所有资源类型。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模块设计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填写说明：按模块列出职责、入口、输入输出和依赖，说明复用、新增与修改的内容；复杂模块可重复本节结构。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接口与数据结构</w:t>
      </w:r>
    </w:p>
    <w:p>
      <w:pPr>
        <w:pStyle w:val="Heading3"/>
        <w:keepNext/>
        <w:spacing w:line="288" w:lineRule="auto" w:before="300" w:after="120"/>
      </w:pPr>
      <w:r>
        <w:rPr>
          <w:rFonts w:ascii="Arial" w:hAnsi="Arial" w:cs="Arial" w:eastAsia="等线"/>
          <w:b w:val="1"/>
          <w:i w:val="0"/>
          <w:u w:val="none"/>
          <w:sz w:val="30"/>
          <w:szCs w:val="30"/>
        </w:rPr>
        <w:t>外部系统与协议兼容性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适用范围：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第三方 API、模型服务、SDK、Agent、插件或跨框架集成。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鉴权通过、协议支持、配置可传递和业务闭环通过分别验证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；工具连接协议与模型接口协议分别说明。先查官方支持和本地源码，再决定是否需要适配层。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调用方／版本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目标接口／协议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鉴权与路由配置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主要差异／限制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证据与验证状态</w:t>
            </w:r>
          </w:p>
        </w:tc>
      </w:tr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实际 URL／方法／SDK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变量名、参数映射，不含密钥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消息、工具、流式、历史、停止与重试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官方支持／代码可配置／联调通过；版本与来源</w:t>
            </w:r>
          </w:p>
        </w:tc>
      </w:tr>
    </w:tbl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专项核对：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请求与响应字段、调用 ID 关联、会话历史／状态保存、流式终态、错误、参数被忽略或重映射、模型别名与快照。首次调用成功不替代多步工具／业务闭环测试；不兼容时说明阻塞条件和补救方案，禁止静默换模型、服务或版本。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填写指引：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按真实 API、函数、文件或命令定义输入输出，说明字段类型、必填／默认、校验、错误与兼容策略。写清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上层配置 → 适配层 → 实际请求／执行参数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的传递关系和覆盖优先级。拟新增接口标明设计状态；未验证示例不标为当前可直接执行。外部协议兼容性使用下方专项表。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接口／结构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字段／参数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类型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必填／默认值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约束与含义</w:t>
            </w:r>
          </w:p>
        </w:tc>
      </w:tr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</w:tr>
    </w:tbl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关键流程与状态变化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填写说明：逐步描述主流程、分支条件和终止条件；涉及状态的功能列明状态、触发事件、允许的转换及非法转换处理，按需附流程图或状态图。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异常处理与边界条件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填写说明：逐项检查空输入、非法输入、超时、依赖失败、重试、重复执行、并发、数据一致性和资源释放；不适用项写明原因。重试需说明次数、间隔及幂等策略。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异常／边界场景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检测方式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处理与恢复策略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对调用方／数据的影响</w:t>
            </w:r>
          </w:p>
        </w:tc>
      </w:tr>
      <w:tr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2268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</w:tr>
    </w:tbl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方案取舍与已知限制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填写说明：记录重要设计决策、备选方案、比较维度和选择理由；简单变更无备选方案时说明原因，并列出已知限制。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性能、容量与安全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填写说明：涉及性能或敏感数据时，补充预期数据量、并发量、资源消耗、权限边界、敏感信息处理与日志脱敏；不适用时说明原因。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使用说明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前置条件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填写说明：列出环境与版本、依赖、配置项、所需权限及输入数据准备方式；凭证仅写获取方式，不填真实密钥。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操作步骤与命令行执行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填写说明：按实际使用方式提供最小可运行示例、参数说明及预期结果；无命令行的项目填写界面或接口调用步骤。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扩展配置与后处理器切换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填写说明：适用于存在插件、策略或后处理器切换的项目；说明可选项、默认行为、切换步骤、兼容限制与验证方法。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输出结果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填写指引：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给出成功、业务失败和基础设施错误的结果示例，标明文件／目录、格式、schema 版本、关键字段与完成信号。区分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原始日志、过程轨迹、状态快照、评分报告和展示汇总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；说明各自生产与消费模块。实时统计与最终报告的分母或过滤规则若不同，明确哪个用于验收；错误／缺失结果不得静默消失。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测试设计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测试结构总览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填写说明：说明单元、集成与端到端测试的职责划分、测试环境、测试数据和外部依赖替代方式，按项目规模裁剪。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需求与测试用例对应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填写说明：每条需求关联至少一个验证用例；覆盖正常、异常和边界场景，预期结果应具体且可判定。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需求编号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用例编号／场景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前置条件与输入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执行步骤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预期结果</w:t>
            </w:r>
          </w:p>
        </w:tc>
      </w:tr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REQ-001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TC-001／待填写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</w:tr>
    </w:tbl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运行测试</w:t>
      </w:r>
    </w:p>
    <w:p>
      <w:pPr>
        <w:pStyle w:val="Heading3"/>
        <w:keepNext/>
        <w:spacing w:line="288" w:lineRule="auto" w:before="300" w:after="120"/>
      </w:pPr>
      <w:r>
        <w:rPr>
          <w:rFonts w:ascii="Arial" w:hAnsi="Arial" w:cs="Arial" w:eastAsia="等线"/>
          <w:b w:val="1"/>
          <w:i w:val="0"/>
          <w:u w:val="none"/>
          <w:sz w:val="30"/>
          <w:szCs w:val="30"/>
        </w:rPr>
        <w:t>验收执行与证据清单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建议流程：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冻结数据／依赖／配置 → 连接与业务闭环冒烟 → 执行预定次数的完整测试 → 检查缺失／错误及实际范围 → 按约定公式聚合 → 与同口径基线比较 → 输出验收结论。跨硬件、模型、协议、执行模式的结果分别标记；图示采用架构图、时序／状态图、验收流程图中的必要类型，不放空白图占位。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证据项</w:t>
            </w:r>
          </w:p>
        </w:tc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填写内容</w:t>
            </w:r>
          </w:p>
        </w:tc>
      </w:tr>
      <w:tr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代码与依赖</w:t>
            </w:r>
          </w:p>
        </w:tc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仓库 commit、SDK／CLI／镜像版本及哈希</w:t>
            </w:r>
          </w:p>
        </w:tc>
      </w:tr>
      <w:tr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数据与模型／服务</w:t>
            </w:r>
          </w:p>
        </w:tc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数据清单、子集、模型快照证据、接口协议与调用时间</w:t>
            </w:r>
          </w:p>
        </w:tc>
      </w:tr>
      <w:tr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运行条件</w:t>
            </w:r>
          </w:p>
        </w:tc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客户端与服务端硬件边界、并发、预算、采样、次数、重试／恢复</w:t>
            </w:r>
          </w:p>
        </w:tc>
      </w:tr>
      <w:tr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原始结果与汇总</w:t>
            </w:r>
          </w:p>
        </w:tc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逐项结果、错误、过程证据、未舍入指标、公式与基线来源</w:t>
            </w:r>
          </w:p>
        </w:tc>
      </w:tr>
      <w:tr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结论</w:t>
            </w:r>
          </w:p>
        </w:tc>
        <w:tc>
          <w:tcPr>
            <w:tcW w:type="dxa" w:w="4536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通过／失败／阻塞／未执行；报告链接、负责人及残余风险</w:t>
            </w:r>
          </w:p>
        </w:tc>
      </w:tr>
    </w:tbl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填写说明：列出环境准备、执行命令或操作步骤、结果查看方式与通过标准，使其他人能够复现。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覆盖情况与验证结论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br/>
        <w:t xml:space="preserve">    </w:t>
      </w:r>
      <w:r>
        <w:rPr>
          <w:rFonts w:ascii="Arial" w:hAnsi="Arial" w:cs="Arial" w:eastAsia="等线"/>
          <w:b w:val="0"/>
          <w:i/>
          <w:u w:val="none"/>
          <w:sz w:val="22"/>
          <w:szCs w:val="22"/>
        </w:rPr>
        <w:t>填写指引：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设计阶段填写计划覆盖与待验证项；实施后填入真实代码版本、环境、测试报告和实际结论。区分</w:t>
      </w:r>
      <w:r>
        <w:rPr>
          <w:rFonts w:ascii="Arial" w:hAnsi="Arial" w:cs="Arial" w:eastAsia="等线"/>
          <w:b/>
          <w:i w:val="0"/>
          <w:u w:val="none"/>
          <w:sz w:val="22"/>
          <w:szCs w:val="22"/>
        </w:rPr>
        <w:t>资料说明支持、代码具备配置能力、联调通过、完整场景验收通过</w:t>
      </w: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，分别注明证据。未执行不写通过，覆盖率不能替代需求覆盖；记录残余风险与未覆盖原因。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发布与回退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发布步骤与兼容性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填写说明：描述发布顺序、依赖版本、配置变更、兼容范围和发布前检查；仅本地交付的工具说明版本分发与替换方式。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数据迁移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填写说明：涉及数据库或存量文件变更时，说明迁移步骤、备份、兼容窗口、失败恢复与结果核对方式。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运行观测与发布后验证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填写说明：列出关键日志、指标或结果检查项，明确正常标准、验证时间窗口和负责人；服务类项目按需补充告警阈值。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2"/>
        <w:keepNext/>
        <w:spacing w:line="288" w:lineRule="auto" w:before="320" w:after="120"/>
      </w:pPr>
      <w:r>
        <w:rPr>
          <w:rFonts w:ascii="Arial" w:hAnsi="Arial" w:cs="Arial" w:eastAsia="等线"/>
          <w:b w:val="1"/>
          <w:i w:val="0"/>
          <w:u w:val="none"/>
          <w:sz w:val="32"/>
          <w:szCs w:val="32"/>
        </w:rPr>
        <w:t>回退与恢复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填写说明：明确回退触发条件、操作步骤、负责人和恢复验证方法；若数据变更不可直接回退，说明备份恢复或补偿方案。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待填写：</w:t>
      </w:r>
    </w:p>
    <w:p>
      <w:pPr>
        <w:pStyle w:val="Heading1"/>
        <w:keepNext/>
        <w:spacing w:line="288" w:lineRule="auto" w:before="380" w:after="140"/>
      </w:pPr>
      <w:r>
        <w:rPr>
          <w:rFonts w:ascii="Arial" w:hAnsi="Arial" w:cs="Arial" w:eastAsia="等线"/>
          <w:b w:val="1"/>
          <w:i w:val="0"/>
          <w:u w:val="none"/>
          <w:sz w:val="36"/>
          <w:szCs w:val="36"/>
        </w:rPr>
        <w:t>待确认事项与风险</w:t>
      </w:r>
    </w:p>
    <w:p>
      <w:pPr>
        <w:spacing w:line="288" w:lineRule="auto" w:before="120" w:after="120"/>
      </w:pPr>
      <w:r>
        <w:rPr>
          <w:rFonts w:ascii="Arial" w:hAnsi="Arial" w:cs="Arial" w:eastAsia="等线"/>
          <w:b w:val="0"/>
          <w:i w:val="0"/>
          <w:u w:val="none"/>
          <w:sz w:val="22"/>
          <w:szCs w:val="22"/>
        </w:rPr>
        <w:t>填写说明：无待确认项时写“无”；存在风险时记录其影响、应对方式、负责人、期限和当前状态。阻塞项需在实施或发布前明确结论。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color="DEE0E3" w:sz="4"/>
          <w:left w:val="single" w:color="DEE0E3" w:sz="4"/>
          <w:bottom w:val="single" w:color="DEE0E3" w:sz="4"/>
          <w:right w:val="single" w:color="DEE0E3" w:sz="4"/>
          <w:insideH w:val="single" w:color="DEE0E3" w:sz="4"/>
          <w:insideV w:val="single" w:color="DEE0E3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事项／风险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影响与应对方式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负责人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解决期限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/>
                <w:i w:val="0"/>
                <w:u w:val="none"/>
                <w:sz w:val="22"/>
                <w:szCs w:val="22"/>
              </w:rPr>
              <w:t>状态／结论</w:t>
            </w:r>
          </w:p>
        </w:tc>
      </w:tr>
      <w:tr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待填写</w:t>
            </w:r>
          </w:p>
        </w:tc>
        <w:tc>
          <w:tcPr>
            <w:tcW w:type="dxa" w:w="1814"/>
          </w:tcPr>
          <w:p>
            <w:pPr>
              <w:spacing w:line="288" w:lineRule="auto" w:before="120" w:after="120"/>
            </w:pPr>
            <w:r>
              <w:rPr>
                <w:rFonts w:ascii="Arial" w:hAnsi="Arial" w:cs="Arial" w:eastAsia="等线"/>
                <w:b w:val="0"/>
                <w:i w:val="0"/>
                <w:u w:val="none"/>
                <w:sz w:val="22"/>
                <w:szCs w:val="22"/>
              </w:rPr>
              <w:t>待确认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 w:before="120"/>
    </w:pPr>
    <w:rPr>
      <w:rFonts w:ascii="Arial" w:hAnsi="Arial" w:eastAsia="等线" w:cs="Arial"/>
      <w:color w:val="00000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80" w:after="140" w:line="288" w:lineRule="auto"/>
      <w:outlineLvl w:val="0"/>
    </w:pPr>
    <w:rPr>
      <w:rFonts w:asciiTheme="majorHAnsi" w:eastAsiaTheme="majorEastAsia" w:hAnsiTheme="majorHAnsi" w:cstheme="majorBidi" w:ascii="Arial" w:hAnsi="Arial" w:eastAsia="等线" w:cs="Arial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 w:line="288" w:lineRule="auto"/>
      <w:outlineLvl w:val="1"/>
    </w:pPr>
    <w:rPr>
      <w:rFonts w:asciiTheme="majorHAnsi" w:eastAsiaTheme="majorEastAsia" w:hAnsiTheme="majorHAnsi" w:cstheme="majorBidi" w:ascii="Arial" w:hAnsi="Arial" w:eastAsia="等线" w:cs="Arial"/>
      <w:b/>
      <w:bCs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20" w:line="288" w:lineRule="auto"/>
      <w:outlineLvl w:val="2"/>
    </w:pPr>
    <w:rPr>
      <w:rFonts w:asciiTheme="majorHAnsi" w:eastAsiaTheme="majorEastAsia" w:hAnsiTheme="majorHAnsi" w:cstheme="majorBidi" w:ascii="Arial" w:hAnsi="Arial" w:eastAsia="等线" w:cs="Arial"/>
      <w:b/>
      <w:bCs/>
      <w:color w:val="000000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60" w:after="120" w:line="288" w:lineRule="auto"/>
      <w:outlineLvl w:val="3"/>
    </w:pPr>
    <w:rPr>
      <w:rFonts w:asciiTheme="majorHAnsi" w:eastAsiaTheme="majorEastAsia" w:hAnsiTheme="majorHAnsi" w:cstheme="majorBidi" w:ascii="Arial" w:hAnsi="Arial" w:eastAsia="等线" w:cs="Arial"/>
      <w:b/>
      <w:bCs/>
      <w:i/>
      <w:iCs/>
      <w:color w:val="00000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 w:line="288" w:lineRule="auto"/>
      <w:outlineLvl w:val="4"/>
    </w:pPr>
    <w:rPr>
      <w:rFonts w:asciiTheme="majorHAnsi" w:eastAsiaTheme="majorEastAsia" w:hAnsiTheme="majorHAnsi" w:cstheme="majorBidi" w:ascii="Arial" w:hAnsi="Arial" w:eastAsia="等线" w:cs="Arial"/>
      <w:b/>
      <w:color w:val="000000"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 w:line="288" w:lineRule="auto"/>
      <w:outlineLvl w:val="5"/>
    </w:pPr>
    <w:rPr>
      <w:rFonts w:asciiTheme="majorHAnsi" w:eastAsiaTheme="majorEastAsia" w:hAnsiTheme="majorHAnsi" w:cstheme="majorBidi" w:ascii="Arial" w:hAnsi="Arial" w:eastAsia="等线" w:cs="Arial"/>
      <w:b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 w:before="120"/>
      <w:contextualSpacing/>
    </w:pPr>
    <w:rPr>
      <w:rFonts w:asciiTheme="majorHAnsi" w:eastAsiaTheme="majorEastAsia" w:hAnsiTheme="majorHAnsi" w:cstheme="majorBidi" w:ascii="Arial" w:hAnsi="Arial" w:eastAsia="等线" w:cs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