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i w:val="0"/>
          <w:color w:val="0284C7"/>
          <w:sz w:val="20"/>
        </w:rPr>
        <w:t>ENTERPRISE PLATFORM &amp; MODULE GUIDE</w:t>
      </w:r>
    </w:p>
    <w:p>
      <w:pPr>
        <w:spacing w:before="40" w:after="120"/>
      </w:pPr>
      <w:r>
        <w:rPr>
          <w:rFonts w:ascii="Calibri" w:hAnsi="Calibri"/>
          <w:b/>
          <w:i w:val="0"/>
          <w:color w:val="0F172A"/>
          <w:sz w:val="52"/>
        </w:rPr>
        <w:t>VRT Services Enterprise Platform</w:t>
      </w:r>
    </w:p>
    <w:p>
      <w:pPr>
        <w:spacing w:before="0" w:after="280"/>
      </w:pPr>
      <w:r>
        <w:t>Complete Sales Speech, Feature Playbook &amp; Pitch Deck for All 17 Core Modules</w:t>
      </w:r>
    </w:p>
    <w:tbl>
      <w:tblPr>
        <w:tblW w:type="auto" w:w="0"/>
        <w:jc w:val="center"/>
        <w:tblLayout w:type="fixed"/>
        <w:tblLook w:firstColumn="1" w:firstRow="1" w:lastColumn="0" w:lastRow="0" w:noHBand="0" w:noVBand="1" w:val="04A0"/>
      </w:tblPr>
      <w:tblGrid>
        <w:gridCol w:w="9936"/>
      </w:tblGrid>
      <w:tr>
        <w:tc>
          <w:tcPr>
            <w:tcW w:type="dxa" w:w="9360"/>
            <w:shd w:fill="FAF5FF"/>
            <w:tcBorders>
              <w:top w:val="none"/>
              <w:left w:val="single" w:sz="36" w:space="0" w:color="7F00FF"/>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CORE VISION: </w:t>
            </w:r>
            <w:r>
              <w:rPr>
                <w:rFonts w:ascii="Calibri" w:hAnsi="Calibri"/>
                <w:i/>
                <w:color w:val="1E293B"/>
                <w:sz w:val="21"/>
              </w:rPr>
              <w:t>"Stop juggling disconnected subscriptions. VRT Services is the all-in-one, bank-grade Tax Preparation, Accounting, Automated OCR, and CRM software ecosystem engineered specifically to replace fragmented tech stacks with a unified, IRS § 7216-compliant powerhouse."</w:t>
            </w:r>
          </w:p>
        </w:tc>
      </w:tr>
    </w:tbl>
    <w:p>
      <w:pPr>
        <w:spacing w:before="0" w:after="80"/>
      </w:pPr>
    </w:p>
    <w:p>
      <w:pPr>
        <w:keepNext/>
        <w:spacing w:before="360" w:after="120"/>
      </w:pPr>
      <w:r>
        <w:rPr>
          <w:rFonts w:ascii="Calibri" w:hAnsi="Calibri"/>
          <w:b/>
          <w:i w:val="0"/>
          <w:color w:val="0F172A"/>
          <w:sz w:val="36"/>
        </w:rPr>
        <w:t>1. The 60-Second Executive Elevator Pitch</w:t>
      </w:r>
    </w:p>
    <w:p>
      <w:pPr>
        <w:spacing w:before="80" w:after="160" w:line="288" w:lineRule="auto"/>
      </w:pPr>
      <w:r>
        <w:t>“If you look at the typical tax and accounting practice today, you’ll find a frustrating mess of 6 to 10 disconnected tools: one app for customer contacts, another for expensive DocuSign seats, a Dropbox folder that clients struggle to use, tedious manual typing of bank statements into Excel, missed state or federal deadlines tracked on whiteboards, and scattered billing.</w:t>
        <w:br/>
        <w:br/>
        <w:t>We built VRT Services to end that chaos forever.</w:t>
        <w:br/>
        <w:br/>
        <w:t>VRT Services unites an inbound Lead pipeline with bilingual AI proposal generation, AI Vision OCR bank statement extraction, an IRS-compliant self-hosted E-Signature engine, an automated compliance deadline calendar, recurring billing, direct QuickBooks sync, and an authenticated client portal into one single platform. Your team prepares returns up to 65% faster, your clients get a frictionless digital experience, and your firm recaptures thousands of lost billable hours.”</w:t>
      </w:r>
    </w:p>
    <w:p>
      <w:pPr>
        <w:keepNext/>
        <w:spacing w:before="360" w:after="120"/>
      </w:pPr>
      <w:r>
        <w:rPr>
          <w:rFonts w:ascii="Calibri" w:hAnsi="Calibri"/>
          <w:b/>
          <w:i w:val="0"/>
          <w:color w:val="0F172A"/>
          <w:sz w:val="36"/>
        </w:rPr>
        <w:t>2. The Core Value Proposition: The Unified Pipeline</w:t>
      </w:r>
    </w:p>
    <w:p>
      <w:pPr>
        <w:spacing w:before="80" w:after="160"/>
      </w:pPr>
      <w:r>
        <w:rPr>
          <w:rFonts w:ascii="Calibri" w:hAnsi="Calibri"/>
          <w:b w:val="0"/>
          <w:i w:val="0"/>
          <w:color w:val="334155"/>
          <w:sz w:val="22"/>
        </w:rPr>
        <w:t>What makes VRT Services unbeatable is that its modules do not operate in silos. Every action automatically triggers the next logical step in the firm's workflow:</w:t>
      </w:r>
    </w:p>
    <w:p>
      <w:pPr>
        <w:pStyle w:val="ListBullet"/>
      </w:pPr>
      <w:r>
        <w:rPr>
          <w:rFonts w:ascii="Calibri" w:hAnsi="Calibri"/>
          <w:b/>
          <w:sz w:val="21"/>
        </w:rPr>
        <w:t xml:space="preserve">Inbound Lead Pipeline &amp; AI Proposal Engine: </w:t>
      </w:r>
      <w:r>
        <w:rPr>
          <w:rFonts w:ascii="Calibri" w:hAnsi="Calibri"/>
          <w:sz w:val="21"/>
        </w:rPr>
        <w:t>Prospects are captured into a 7-stage pipeline, receive tailored, industry-specific AI proposals in English or Spanish in seconds, and convert into active CRM customers with a single click.</w:t>
      </w:r>
    </w:p>
    <w:p>
      <w:pPr>
        <w:pStyle w:val="ListBullet"/>
        <w:spacing w:before="40" w:after="60" w:line="276" w:lineRule="auto"/>
      </w:pPr>
      <w:r>
        <w:rPr>
          <w:rFonts w:ascii="Calibri" w:hAnsi="Calibri"/>
          <w:b/>
          <w:i w:val="0"/>
          <w:color w:val="1E293B"/>
          <w:sz w:val="21"/>
        </w:rPr>
        <w:t xml:space="preserve">Frictionless Document Intake: </w:t>
      </w:r>
      <w:r>
        <w:rPr>
          <w:rFonts w:ascii="Calibri" w:hAnsi="Calibri"/>
          <w:b w:val="0"/>
          <w:i w:val="0"/>
          <w:color w:val="334155"/>
          <w:sz w:val="21"/>
        </w:rPr>
        <w:t>Clients drag &amp; drop tax documents into their authenticated portal or email them directly with their reference ID.</w:t>
      </w:r>
    </w:p>
    <w:p>
      <w:pPr>
        <w:pStyle w:val="ListBullet"/>
        <w:spacing w:before="40" w:after="60" w:line="276" w:lineRule="auto"/>
      </w:pPr>
      <w:r>
        <w:rPr>
          <w:rFonts w:ascii="Calibri" w:hAnsi="Calibri"/>
          <w:b/>
          <w:i w:val="0"/>
          <w:color w:val="1E293B"/>
          <w:sz w:val="21"/>
        </w:rPr>
        <w:t xml:space="preserve">Automated AI OCR Extraction: </w:t>
      </w:r>
      <w:r>
        <w:rPr>
          <w:rFonts w:ascii="Calibri" w:hAnsi="Calibri"/>
          <w:b w:val="0"/>
          <w:i w:val="0"/>
          <w:color w:val="334155"/>
          <w:sz w:val="21"/>
        </w:rPr>
        <w:t>Multi-page bank statements and check images are parsed into structured General Ledger transactions in seconds.</w:t>
      </w:r>
    </w:p>
    <w:p>
      <w:pPr>
        <w:pStyle w:val="ListBullet"/>
        <w:spacing w:before="40" w:after="60" w:line="276" w:lineRule="auto"/>
      </w:pPr>
      <w:r>
        <w:rPr>
          <w:rFonts w:ascii="Calibri" w:hAnsi="Calibri"/>
          <w:b/>
          <w:i w:val="0"/>
          <w:color w:val="1E293B"/>
          <w:sz w:val="21"/>
        </w:rPr>
        <w:t xml:space="preserve">Standardized 4-Step Tax Pipeline: </w:t>
      </w:r>
      <w:r>
        <w:rPr>
          <w:rFonts w:ascii="Calibri" w:hAnsi="Calibri"/>
          <w:b w:val="0"/>
          <w:i w:val="0"/>
          <w:color w:val="334155"/>
          <w:sz w:val="21"/>
        </w:rPr>
        <w:t>Preparers and Quality Control reviewers calculate and finalize returns within an auditable assembly-line framework.</w:t>
      </w:r>
    </w:p>
    <w:p>
      <w:pPr>
        <w:pStyle w:val="ListBullet"/>
        <w:spacing w:before="40" w:after="60" w:line="276" w:lineRule="auto"/>
      </w:pPr>
      <w:r>
        <w:rPr>
          <w:rFonts w:ascii="Calibri" w:hAnsi="Calibri"/>
          <w:b/>
          <w:i w:val="0"/>
          <w:color w:val="1E293B"/>
          <w:sz w:val="21"/>
        </w:rPr>
        <w:t xml:space="preserve">Zero-Cost IRS § 7216 E-Signatures: </w:t>
      </w:r>
      <w:r>
        <w:rPr>
          <w:rFonts w:ascii="Calibri" w:hAnsi="Calibri"/>
          <w:b w:val="0"/>
          <w:i w:val="0"/>
          <w:color w:val="334155"/>
          <w:sz w:val="21"/>
        </w:rPr>
        <w:t>Completed returns generate Form 8879 packets dispatched to a 100% self-hosted DocuSeal engine.</w:t>
      </w:r>
    </w:p>
    <w:p>
      <w:pPr>
        <w:pStyle w:val="ListBullet"/>
        <w:spacing w:before="40" w:after="60" w:line="276" w:lineRule="auto"/>
      </w:pPr>
      <w:r>
        <w:rPr>
          <w:rFonts w:ascii="Calibri" w:hAnsi="Calibri"/>
          <w:b/>
          <w:i w:val="0"/>
          <w:color w:val="1E293B"/>
          <w:sz w:val="21"/>
        </w:rPr>
        <w:t xml:space="preserve">Two-Way Compliance Calendar Sync: </w:t>
      </w:r>
      <w:r>
        <w:rPr>
          <w:rFonts w:ascii="Calibri" w:hAnsi="Calibri"/>
          <w:b w:val="0"/>
          <w:i w:val="0"/>
          <w:color w:val="334155"/>
          <w:sz w:val="21"/>
        </w:rPr>
        <w:t>Client signature automatically marks the corresponding tax deadline as completed in the firm's compliance calendar.</w:t>
      </w:r>
    </w:p>
    <w:p>
      <w:pPr>
        <w:pStyle w:val="ListBullet"/>
        <w:spacing w:before="40" w:after="60" w:line="276" w:lineRule="auto"/>
      </w:pPr>
      <w:r>
        <w:rPr>
          <w:rFonts w:ascii="Calibri" w:hAnsi="Calibri"/>
          <w:b/>
          <w:i w:val="0"/>
          <w:color w:val="1E293B"/>
          <w:sz w:val="21"/>
        </w:rPr>
        <w:t xml:space="preserve">Automated Billing &amp; Resend Dispatch: </w:t>
      </w:r>
      <w:r>
        <w:rPr>
          <w:rFonts w:ascii="Calibri" w:hAnsi="Calibri"/>
          <w:b w:val="0"/>
          <w:i w:val="0"/>
          <w:color w:val="334155"/>
          <w:sz w:val="21"/>
        </w:rPr>
        <w:t>The system auto-generates recurring or catch-up invoices and dispatches them via Resend API.</w:t>
      </w:r>
    </w:p>
    <w:p>
      <w:pPr>
        <w:pStyle w:val="ListBullet"/>
        <w:spacing w:before="40" w:after="60" w:line="276" w:lineRule="auto"/>
      </w:pPr>
      <w:r>
        <w:rPr>
          <w:rFonts w:ascii="Calibri" w:hAnsi="Calibri"/>
          <w:b/>
          <w:i w:val="0"/>
          <w:color w:val="1E293B"/>
          <w:sz w:val="21"/>
        </w:rPr>
        <w:t xml:space="preserve">Direct QuickBooks Online Integration: </w:t>
      </w:r>
      <w:r>
        <w:rPr>
          <w:rFonts w:ascii="Calibri" w:hAnsi="Calibri"/>
          <w:b w:val="0"/>
          <w:i w:val="0"/>
          <w:color w:val="334155"/>
          <w:sz w:val="21"/>
        </w:rPr>
        <w:t>Reconciled ledger entries, Chart of Accounts, and invoices sync directly into QuickBooks Online via OAuth2.</w:t>
      </w:r>
    </w:p>
    <w:p>
      <w:r>
        <w:br w:type="page"/>
      </w:r>
    </w:p>
    <w:p>
      <w:pPr>
        <w:keepNext/>
        <w:spacing w:before="360" w:after="120"/>
      </w:pPr>
      <w:r>
        <w:rPr>
          <w:rFonts w:ascii="Calibri" w:hAnsi="Calibri"/>
          <w:b/>
          <w:i w:val="0"/>
          <w:color w:val="0F172A"/>
          <w:sz w:val="36"/>
        </w:rPr>
        <w:t>3. Comprehensive Module-by-Module Sales Pitches</w:t>
      </w:r>
    </w:p>
    <w:p>
      <w:pPr>
        <w:keepNext/>
        <w:spacing w:before="280" w:after="80"/>
      </w:pPr>
      <w:r>
        <w:rPr>
          <w:rFonts w:ascii="Calibri" w:hAnsi="Calibri"/>
          <w:b/>
          <w:i w:val="0"/>
          <w:color w:val="0E7490"/>
          <w:sz w:val="28"/>
        </w:rPr>
        <w:t>Module 1: Executive Command Center &amp; Analytics Dashboard</w:t>
      </w:r>
    </w:p>
    <w:p>
      <w:pPr>
        <w:spacing w:before="0" w:after="120"/>
      </w:pPr>
      <w:r>
        <w:rPr>
          <w:rFonts w:ascii="Calibri" w:hAnsi="Calibri"/>
          <w:b/>
          <w:i/>
          <w:color w:val="0284C7"/>
          <w:sz w:val="22"/>
        </w:rPr>
        <w:t>« The Central Cockpit for Modern Accounting Leaders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Partners and practice managers fly blind every tax season—having to message individual preparers just to find out how many returns are stuck, who hasn't paid, or which IRS deadlines are looming this Friday.</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“Start your day with complete operational clarity. The VRT Services Executive Dashboard gives you a 30,000-foot view of your entire firm: real-time counters of active clients, in-flight tax returns, pending client e-signatures, and uncollected invoice totals. With our multi-entity global search and instant health badges, you know within three seconds exactly where your firm stands today.”</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Executive KPI Cards: </w:t>
      </w:r>
      <w:r>
        <w:rPr>
          <w:rFonts w:ascii="Calibri" w:hAnsi="Calibri"/>
          <w:b w:val="0"/>
          <w:i w:val="0"/>
          <w:color w:val="334155"/>
          <w:sz w:val="21"/>
        </w:rPr>
        <w:t>Real-time counters for Active Clients, Pending Tax Returns, Outstanding Invoice Totals, and Pending E-Signature Requests.</w:t>
      </w:r>
    </w:p>
    <w:p>
      <w:pPr>
        <w:pStyle w:val="ListBullet"/>
        <w:spacing w:before="40" w:after="60" w:line="276" w:lineRule="auto"/>
      </w:pPr>
      <w:r>
        <w:rPr>
          <w:rFonts w:ascii="Calibri" w:hAnsi="Calibri"/>
          <w:b/>
          <w:i w:val="0"/>
          <w:color w:val="1E293B"/>
          <w:sz w:val="21"/>
        </w:rPr>
        <w:t xml:space="preserve">Pending Tasks Widget: </w:t>
      </w:r>
      <w:r>
        <w:rPr>
          <w:rFonts w:ascii="Calibri" w:hAnsi="Calibri"/>
          <w:b w:val="0"/>
          <w:i w:val="0"/>
          <w:color w:val="334155"/>
          <w:sz w:val="21"/>
        </w:rPr>
        <w:t>Aggregates tax client checklist steps needing attention across all assigned customers.</w:t>
      </w:r>
    </w:p>
    <w:p>
      <w:pPr>
        <w:pStyle w:val="ListBullet"/>
        <w:spacing w:before="40" w:after="60" w:line="276" w:lineRule="auto"/>
      </w:pPr>
      <w:r>
        <w:rPr>
          <w:rFonts w:ascii="Calibri" w:hAnsi="Calibri"/>
          <w:b/>
          <w:i w:val="0"/>
          <w:color w:val="1E293B"/>
          <w:sz w:val="21"/>
        </w:rPr>
        <w:t xml:space="preserve">Global Multi-Entity Search: </w:t>
      </w:r>
      <w:r>
        <w:rPr>
          <w:rFonts w:ascii="Calibri" w:hAnsi="Calibri"/>
          <w:b w:val="0"/>
          <w:i w:val="0"/>
          <w:color w:val="334155"/>
          <w:sz w:val="21"/>
        </w:rPr>
        <w:t>Instant search across clients, EIN/SSN numbers, invoice IDs, e-signature requests, and compliance events.</w:t>
      </w:r>
    </w:p>
    <w:p>
      <w:pPr>
        <w:pStyle w:val="ListBullet"/>
        <w:spacing w:before="40" w:after="60" w:line="276" w:lineRule="auto"/>
      </w:pPr>
      <w:r>
        <w:rPr>
          <w:rFonts w:ascii="Calibri" w:hAnsi="Calibri"/>
          <w:b/>
          <w:i w:val="0"/>
          <w:color w:val="1E293B"/>
          <w:sz w:val="21"/>
        </w:rPr>
        <w:t xml:space="preserve">Compliance Health Badges: </w:t>
      </w:r>
      <w:r>
        <w:rPr>
          <w:rFonts w:ascii="Calibri" w:hAnsi="Calibri"/>
          <w:b w:val="0"/>
          <w:i w:val="0"/>
          <w:color w:val="334155"/>
          <w:sz w:val="21"/>
        </w:rPr>
        <w:t>Instant visual indicators for client tax standing (Compliant, Upcoming Deadline, Overdue).</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Eliminates status-update meetings and gives firm leadership instant visibility into revenue bottlenecks and filing risks.</w:t>
      </w:r>
    </w:p>
    <w:p>
      <w:pPr>
        <w:keepNext/>
        <w:spacing w:before="280" w:after="80"/>
      </w:pPr>
      <w:r>
        <w:rPr>
          <w:rFonts w:ascii="Calibri" w:hAnsi="Calibri"/>
          <w:b/>
          <w:i w:val="0"/>
          <w:color w:val="0E7490"/>
          <w:sz w:val="28"/>
        </w:rPr>
        <w:t>Module 2: Enterprise CRM &amp; 4-Step Tax Preparation Pipeline</w:t>
      </w:r>
    </w:p>
    <w:p>
      <w:pPr>
        <w:spacing w:before="0" w:after="120"/>
      </w:pPr>
      <w:r>
        <w:rPr>
          <w:rFonts w:ascii="Calibri" w:hAnsi="Calibri"/>
          <w:b/>
          <w:i/>
          <w:color w:val="0284C7"/>
          <w:sz w:val="22"/>
        </w:rPr>
        <w:t>« Turn Tax Season Chaos into an Assembly Line of Certainty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Returns get lost between document intake, preparer calculation, and manager review. Clients get frustrated asking, 'Did you get my W-2? Is my return ready?'</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“Treat tax preparation like a finely tuned manufacturing line. Our CRM doesn’t just store customer contact info—it drives every client through our battle-tested 4-Step Tax Preparation Pipeline: Document Intake, Preparation, Quality Control Review, and Client E-Signature. Best of all, when your client signs their Form 8879, Step 4 marks itself complete automatically—no manual checking required.”</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Multi-Entity Client Management: </w:t>
      </w:r>
      <w:r>
        <w:rPr>
          <w:rFonts w:ascii="Calibri" w:hAnsi="Calibri"/>
          <w:b w:val="0"/>
          <w:i w:val="0"/>
          <w:color w:val="334155"/>
          <w:sz w:val="21"/>
        </w:rPr>
        <w:t>Full profiles for S-Corps, C-Corps, Partnerships, LLCs, Individuals, and Joint Accounts with spouse details.</w:t>
      </w:r>
    </w:p>
    <w:p>
      <w:pPr>
        <w:pStyle w:val="ListBullet"/>
        <w:spacing w:before="40" w:after="60" w:line="276" w:lineRule="auto"/>
      </w:pPr>
      <w:r>
        <w:rPr>
          <w:rFonts w:ascii="Calibri" w:hAnsi="Calibri"/>
          <w:b/>
          <w:i w:val="0"/>
          <w:color w:val="1E293B"/>
          <w:sz w:val="21"/>
        </w:rPr>
        <w:t xml:space="preserve">Standardized 4-Step Pipeline: </w:t>
      </w:r>
      <w:r>
        <w:rPr>
          <w:rFonts w:ascii="Calibri" w:hAnsi="Calibri"/>
          <w:b w:val="0"/>
          <w:i w:val="0"/>
          <w:color w:val="334155"/>
          <w:sz w:val="21"/>
        </w:rPr>
        <w:t>Tracks intake of source documents, return calculation, QC manager review, and client e-signature status.</w:t>
      </w:r>
    </w:p>
    <w:p>
      <w:pPr>
        <w:pStyle w:val="ListBullet"/>
        <w:spacing w:before="40" w:after="60" w:line="276" w:lineRule="auto"/>
      </w:pPr>
      <w:r>
        <w:rPr>
          <w:rFonts w:ascii="Calibri" w:hAnsi="Calibri"/>
          <w:b/>
          <w:i w:val="0"/>
          <w:color w:val="1E293B"/>
          <w:sz w:val="21"/>
        </w:rPr>
        <w:t xml:space="preserve">Two-Way Automated Sync: </w:t>
      </w:r>
      <w:r>
        <w:rPr>
          <w:rFonts w:ascii="Calibri" w:hAnsi="Calibri"/>
          <w:b w:val="0"/>
          <w:i w:val="0"/>
          <w:color w:val="334155"/>
          <w:sz w:val="21"/>
        </w:rPr>
        <w:t>Toggling Step 4 automatically updates the compliance calendar status and vice versa.</w:t>
      </w:r>
    </w:p>
    <w:p>
      <w:pPr>
        <w:pStyle w:val="ListBullet"/>
        <w:spacing w:before="40" w:after="60" w:line="276" w:lineRule="auto"/>
      </w:pPr>
      <w:r>
        <w:rPr>
          <w:rFonts w:ascii="Calibri" w:hAnsi="Calibri"/>
          <w:b/>
          <w:i w:val="0"/>
          <w:color w:val="1E293B"/>
          <w:sz w:val="21"/>
        </w:rPr>
        <w:t xml:space="preserve">Historical Period Reopening: </w:t>
      </w:r>
      <w:r>
        <w:rPr>
          <w:rFonts w:ascii="Calibri" w:hAnsi="Calibri"/>
          <w:b w:val="0"/>
          <w:i w:val="0"/>
          <w:color w:val="334155"/>
          <w:sz w:val="21"/>
        </w:rPr>
        <w:t>Reopen past tax years for amended returns while preserving historical audit logs.</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Cuts return turnaround time by 40% and completely eliminates misplaced client files or skipped quality reviews.</w:t>
      </w:r>
    </w:p>
    <w:p>
      <w:pPr>
        <w:keepNext/>
        <w:spacing w:before="280" w:after="80"/>
      </w:pPr>
      <w:r>
        <w:rPr>
          <w:rFonts w:ascii="Calibri" w:hAnsi="Calibri"/>
          <w:b/>
          <w:i w:val="0"/>
          <w:color w:val="0E7490"/>
          <w:sz w:val="28"/>
        </w:rPr>
        <w:t>Module 3: Client Portal &amp; Frictionless Document Intake</w:t>
      </w:r>
    </w:p>
    <w:p>
      <w:pPr>
        <w:spacing w:before="0" w:after="120"/>
      </w:pPr>
      <w:r>
        <w:rPr>
          <w:rFonts w:ascii="Calibri" w:hAnsi="Calibri"/>
          <w:b/>
          <w:i/>
          <w:color w:val="0284C7"/>
          <w:sz w:val="22"/>
        </w:rPr>
        <w:t>« The Digital Front Door That Clients Actually Love Using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Asking clients to create complex passwords on confusing third-party portals leads to endless password-reset support calls, files emailed insecurely, or lost text message photos.</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“Give your clients an ultra-clean, modern VIP intake experience. Right from your firm's landing page, clients authenticate in seconds with their Customer ID or verified email and drop their W-2s, 1099s, or P&amp;Ls directly into their secure encrypted cloud folder. Prefer email? Clients can simply email attachments with their reference tag, and our system files them into the right customer folder automatically.”</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Authenticated Portal Modal: </w:t>
      </w:r>
      <w:r>
        <w:rPr>
          <w:rFonts w:ascii="Calibri" w:hAnsi="Calibri"/>
          <w:b w:val="0"/>
          <w:i w:val="0"/>
          <w:color w:val="334155"/>
          <w:sz w:val="21"/>
        </w:rPr>
        <w:t>Direct access from the firm homepage using Customer ID (e.g., CUST-1001) and registered email address.</w:t>
      </w:r>
    </w:p>
    <w:p>
      <w:pPr>
        <w:pStyle w:val="ListBullet"/>
        <w:spacing w:before="40" w:after="60" w:line="276" w:lineRule="auto"/>
      </w:pPr>
      <w:r>
        <w:rPr>
          <w:rFonts w:ascii="Calibri" w:hAnsi="Calibri"/>
          <w:b/>
          <w:i w:val="0"/>
          <w:color w:val="1E293B"/>
          <w:sz w:val="21"/>
        </w:rPr>
        <w:t xml:space="preserve">Drag-and-Drop Cloud Upload: </w:t>
      </w:r>
      <w:r>
        <w:rPr>
          <w:rFonts w:ascii="Calibri" w:hAnsi="Calibri"/>
          <w:b w:val="0"/>
          <w:i w:val="0"/>
          <w:color w:val="334155"/>
          <w:sz w:val="21"/>
        </w:rPr>
        <w:t>Clients upload files directly into their dedicated cloud Inbox/ folder with real-time visual progress.</w:t>
      </w:r>
    </w:p>
    <w:p>
      <w:pPr>
        <w:pStyle w:val="ListBullet"/>
        <w:spacing w:before="40" w:after="60" w:line="276" w:lineRule="auto"/>
      </w:pPr>
      <w:r>
        <w:rPr>
          <w:rFonts w:ascii="Calibri" w:hAnsi="Calibri"/>
          <w:b/>
          <w:i w:val="0"/>
          <w:color w:val="1E293B"/>
          <w:sz w:val="21"/>
        </w:rPr>
        <w:t xml:space="preserve">Alternative Inbound Email Ingestion: </w:t>
      </w:r>
      <w:r>
        <w:rPr>
          <w:rFonts w:ascii="Calibri" w:hAnsi="Calibri"/>
          <w:b w:val="0"/>
          <w:i w:val="0"/>
          <w:color w:val="334155"/>
          <w:sz w:val="21"/>
        </w:rPr>
        <w:t>Clients can email attachments directly to notification@vrtservices12.com with reference tags.</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90% faster document collection at the start of tax season and zero client onboarding headaches or lost password tickets.</w:t>
      </w:r>
    </w:p>
    <w:p>
      <w:pPr>
        <w:keepNext/>
        <w:spacing w:before="280" w:after="80"/>
      </w:pPr>
      <w:r>
        <w:rPr>
          <w:rFonts w:ascii="Calibri" w:hAnsi="Calibri"/>
          <w:b/>
          <w:i w:val="0"/>
          <w:color w:val="0E7490"/>
          <w:sz w:val="28"/>
        </w:rPr>
        <w:t>Module 4: DigitalOcean Spaces Cloud Storage Manager</w:t>
      </w:r>
    </w:p>
    <w:p>
      <w:pPr>
        <w:spacing w:before="0" w:after="120"/>
      </w:pPr>
      <w:r>
        <w:rPr>
          <w:rFonts w:ascii="Calibri" w:hAnsi="Calibri"/>
          <w:b/>
          <w:i/>
          <w:color w:val="0284C7"/>
          <w:sz w:val="22"/>
        </w:rPr>
        <w:t>« Bank-Grade, Structured Cloud Archival Inside Every Client Profile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Storing client tax documents on Google Drive or personal Dropbox accounts results in messy folder structures, accidental file deletions, and mounting per-user cloud storage fees.</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“Every client automatically gets their own bank-grade, S3-backed cloud directory initialized the moment they are created. With pre-structured subfolders for E-Signatures, Tax Returns, Financial Statements, and Invoices, your firm stays permanently audit-ready. View PDFs with our high-speed inline viewer or download signed returns with a single click.”</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Auto-Provisioned Folder Hierarchy: </w:t>
      </w:r>
      <w:r>
        <w:rPr>
          <w:rFonts w:ascii="Calibri" w:hAnsi="Calibri"/>
          <w:b w:val="0"/>
          <w:i w:val="0"/>
          <w:color w:val="334155"/>
          <w:sz w:val="21"/>
        </w:rPr>
        <w:t>Automated creation of /Customers/&lt;Legal_Name&gt;_&lt;ID&gt;/ with subfolders for /ESignatures, /Tax_Returns, /Financial_Statements, /Invoices, and /Inbox.</w:t>
      </w:r>
    </w:p>
    <w:p>
      <w:pPr>
        <w:pStyle w:val="ListBullet"/>
        <w:spacing w:before="40" w:after="60" w:line="276" w:lineRule="auto"/>
      </w:pPr>
      <w:r>
        <w:rPr>
          <w:rFonts w:ascii="Calibri" w:hAnsi="Calibri"/>
          <w:b/>
          <w:i w:val="0"/>
          <w:color w:val="1E293B"/>
          <w:sz w:val="21"/>
        </w:rPr>
        <w:t xml:space="preserve">Secure Inline PDF Streaming: </w:t>
      </w:r>
      <w:r>
        <w:rPr>
          <w:rFonts w:ascii="Calibri" w:hAnsi="Calibri"/>
          <w:b w:val="0"/>
          <w:i w:val="0"/>
          <w:color w:val="334155"/>
          <w:sz w:val="21"/>
        </w:rPr>
        <w:t>View PDFs safely with signed, expiring S3 URLs directly inside the dashboard.</w:t>
      </w:r>
    </w:p>
    <w:p>
      <w:pPr>
        <w:pStyle w:val="ListBullet"/>
        <w:spacing w:before="40" w:after="60" w:line="276" w:lineRule="auto"/>
      </w:pPr>
      <w:r>
        <w:rPr>
          <w:rFonts w:ascii="Calibri" w:hAnsi="Calibri"/>
          <w:b/>
          <w:i w:val="0"/>
          <w:color w:val="1E293B"/>
          <w:sz w:val="21"/>
        </w:rPr>
        <w:t xml:space="preserve">Comprehensive File Operations: </w:t>
      </w:r>
      <w:r>
        <w:rPr>
          <w:rFonts w:ascii="Calibri" w:hAnsi="Calibri"/>
          <w:b w:val="0"/>
          <w:i w:val="0"/>
          <w:color w:val="334155"/>
          <w:sz w:val="21"/>
        </w:rPr>
        <w:t>Upload, folder creation, rename, move, archive, and download actions.</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Replaces costly third-party Dropbox/Box subscriptions while enforcing uniform, firm-wide file organization standards.</w:t>
      </w:r>
    </w:p>
    <w:p>
      <w:pPr>
        <w:keepNext/>
        <w:spacing w:before="280" w:after="80"/>
      </w:pPr>
      <w:r>
        <w:rPr>
          <w:rFonts w:ascii="Calibri" w:hAnsi="Calibri"/>
          <w:b/>
          <w:i w:val="0"/>
          <w:color w:val="0E7490"/>
          <w:sz w:val="28"/>
        </w:rPr>
        <w:t>Module 5: 100% Self-Hosted DocuSeal E-Signature Suite</w:t>
      </w:r>
    </w:p>
    <w:p>
      <w:pPr>
        <w:spacing w:before="0" w:after="120"/>
      </w:pPr>
      <w:r>
        <w:rPr>
          <w:rFonts w:ascii="Calibri" w:hAnsi="Calibri"/>
          <w:b/>
          <w:i/>
          <w:color w:val="0284C7"/>
          <w:sz w:val="22"/>
        </w:rPr>
        <w:t>« Total IRS § 7216 Compliance Without Per-Envelope DocuSign Fees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Third-party e-sign services like DocuSign or HelloSign charge heavy fees per envelope, leak sensitive taxpayer data to commercial clouds (violating strict IRS § 7216 tax privacy standards), and break on mobile screens.</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“Say goodbye to recurring DocuSign bills and IRS privacy violations. VRT Services includes a 100% self-hosted, IRS § 7216-compliant DocuSeal e-signature instance hosted on your own domain. It features smart keyword matching for Form 8879, IRC § 7216 consents, and engagement letters. Clients sign smoothly on mobile phones or desktops with one click, and the completed PDF along with its cryptographic SHA256 audit trail certificate is automatically saved to the client's cloud folder.”</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100% Self-Hosted Privacy: </w:t>
      </w:r>
      <w:r>
        <w:rPr>
          <w:rFonts w:ascii="Calibri" w:hAnsi="Calibri"/>
          <w:b w:val="0"/>
          <w:i w:val="0"/>
          <w:color w:val="334155"/>
          <w:sz w:val="21"/>
        </w:rPr>
        <w:t>Hosted directly on esign.vrtservices12.com—zero third-party data sharing or cloud leaks.</w:t>
      </w:r>
    </w:p>
    <w:p>
      <w:pPr>
        <w:pStyle w:val="ListBullet"/>
        <w:spacing w:before="40" w:after="60" w:line="276" w:lineRule="auto"/>
      </w:pPr>
      <w:r>
        <w:rPr>
          <w:rFonts w:ascii="Calibri" w:hAnsi="Calibri"/>
          <w:b/>
          <w:i w:val="0"/>
          <w:color w:val="1E293B"/>
          <w:sz w:val="21"/>
        </w:rPr>
        <w:t xml:space="preserve">Smart Template Matching: </w:t>
      </w:r>
      <w:r>
        <w:rPr>
          <w:rFonts w:ascii="Calibri" w:hAnsi="Calibri"/>
          <w:b w:val="0"/>
          <w:i w:val="0"/>
          <w:color w:val="334155"/>
          <w:sz w:val="21"/>
        </w:rPr>
        <w:t>Automatically matches signature requests by keyword: Form 8879, IRC § 7216 Consent, Engagement Letters, and Organizers.</w:t>
      </w:r>
    </w:p>
    <w:p>
      <w:pPr>
        <w:pStyle w:val="ListBullet"/>
        <w:spacing w:before="40" w:after="60" w:line="276" w:lineRule="auto"/>
      </w:pPr>
      <w:r>
        <w:rPr>
          <w:rFonts w:ascii="Calibri" w:hAnsi="Calibri"/>
          <w:b/>
          <w:i w:val="0"/>
          <w:color w:val="1E293B"/>
          <w:sz w:val="21"/>
        </w:rPr>
        <w:t xml:space="preserve">Frictionless Mobile Redirect Flow: </w:t>
      </w:r>
      <w:r>
        <w:rPr>
          <w:rFonts w:ascii="Calibri" w:hAnsi="Calibri"/>
          <w:b w:val="0"/>
          <w:i w:val="0"/>
          <w:color w:val="334155"/>
          <w:sz w:val="21"/>
        </w:rPr>
        <w:t>Direct 307 redirect eliminates iframe blocking and mobile touch issues.</w:t>
      </w:r>
    </w:p>
    <w:p>
      <w:pPr>
        <w:pStyle w:val="ListBullet"/>
        <w:spacing w:before="40" w:after="60" w:line="276" w:lineRule="auto"/>
      </w:pPr>
      <w:r>
        <w:rPr>
          <w:rFonts w:ascii="Calibri" w:hAnsi="Calibri"/>
          <w:b/>
          <w:i w:val="0"/>
          <w:color w:val="1E293B"/>
          <w:sz w:val="21"/>
        </w:rPr>
        <w:t xml:space="preserve">Automated Audit Archival: </w:t>
      </w:r>
      <w:r>
        <w:rPr>
          <w:rFonts w:ascii="Calibri" w:hAnsi="Calibri"/>
          <w:b w:val="0"/>
          <w:i w:val="0"/>
          <w:color w:val="334155"/>
          <w:sz w:val="21"/>
        </w:rPr>
        <w:t>Automatically archives the signed PDF and official SHA256 audit trail certificate into client cloud storage.</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Saves $3,000–$10,000+ annually in third-party e-sign software fees while providing bulletproof IRS compliance.</w:t>
      </w:r>
    </w:p>
    <w:p>
      <w:pPr>
        <w:keepNext/>
        <w:spacing w:before="280" w:after="80"/>
      </w:pPr>
      <w:r>
        <w:rPr>
          <w:rFonts w:ascii="Calibri" w:hAnsi="Calibri"/>
          <w:b/>
          <w:i w:val="0"/>
          <w:color w:val="0E7490"/>
          <w:sz w:val="28"/>
        </w:rPr>
        <w:t>Module 6: AI-Powered Bank Statement OCR &amp; Table Extraction</w:t>
      </w:r>
    </w:p>
    <w:p>
      <w:pPr>
        <w:spacing w:before="0" w:after="120"/>
      </w:pPr>
      <w:r>
        <w:rPr>
          <w:rFonts w:ascii="Calibri" w:hAnsi="Calibri"/>
          <w:b/>
          <w:i/>
          <w:color w:val="0284C7"/>
          <w:sz w:val="22"/>
        </w:rPr>
        <w:t>« Extract Hundreds of Statement Transactions in Seconds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Bookkeepers waste tens of hours every month manually re-typing scanned PDF bank statements, deposits, and check disbursements into Excel spreadsheets.</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“Turn messy, scanned PDF statements into clean, structured general ledger data in seconds. Our AI Vision OCR engine extracts statement periods, opening/closing balances, deposit tables, withdrawal lists, and check registers with extreme accuracy. Running on a dedicated multi-threaded worker pool, large 50-page statements process seamlessly in the background without slowing down your user interface.”</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Multi-Page Statement Parsing: </w:t>
      </w:r>
      <w:r>
        <w:rPr>
          <w:rFonts w:ascii="Calibri" w:hAnsi="Calibri"/>
          <w:b w:val="0"/>
          <w:i w:val="0"/>
          <w:color w:val="334155"/>
          <w:sz w:val="21"/>
        </w:rPr>
        <w:t>Accurately extracts tables from major banks including Chase, Bank of America, Wells Fargo, and regional institutions.</w:t>
      </w:r>
    </w:p>
    <w:p>
      <w:pPr>
        <w:pStyle w:val="ListBullet"/>
        <w:spacing w:before="40" w:after="60" w:line="276" w:lineRule="auto"/>
      </w:pPr>
      <w:r>
        <w:rPr>
          <w:rFonts w:ascii="Calibri" w:hAnsi="Calibri"/>
          <w:b/>
          <w:i w:val="0"/>
          <w:color w:val="1E293B"/>
          <w:sz w:val="21"/>
        </w:rPr>
        <w:t xml:space="preserve">Automated Mathematical Balancing: </w:t>
      </w:r>
      <w:r>
        <w:rPr>
          <w:rFonts w:ascii="Calibri" w:hAnsi="Calibri"/>
          <w:b w:val="0"/>
          <w:i w:val="0"/>
          <w:color w:val="334155"/>
          <w:sz w:val="21"/>
        </w:rPr>
        <w:t>Reconciles opening balance, total deposits, total checks, service fees, and ending balance.</w:t>
      </w:r>
    </w:p>
    <w:p>
      <w:pPr>
        <w:pStyle w:val="ListBullet"/>
        <w:spacing w:before="40" w:after="60" w:line="276" w:lineRule="auto"/>
      </w:pPr>
      <w:r>
        <w:rPr>
          <w:rFonts w:ascii="Calibri" w:hAnsi="Calibri"/>
          <w:b/>
          <w:i w:val="0"/>
          <w:color w:val="1E293B"/>
          <w:sz w:val="21"/>
        </w:rPr>
        <w:t xml:space="preserve">Dedicated OCR Worker Pool: </w:t>
      </w:r>
      <w:r>
        <w:rPr>
          <w:rFonts w:ascii="Calibri" w:hAnsi="Calibri"/>
          <w:b w:val="0"/>
          <w:i w:val="0"/>
          <w:color w:val="334155"/>
          <w:sz w:val="21"/>
        </w:rPr>
        <w:t>Multi-worker asynchronous background processing ensures zero UI freezes.</w:t>
      </w:r>
    </w:p>
    <w:p>
      <w:pPr>
        <w:pStyle w:val="ListBullet"/>
        <w:spacing w:before="40" w:after="60" w:line="276" w:lineRule="auto"/>
      </w:pPr>
      <w:r>
        <w:rPr>
          <w:rFonts w:ascii="Calibri" w:hAnsi="Calibri"/>
          <w:b/>
          <w:i w:val="0"/>
          <w:color w:val="1E293B"/>
          <w:sz w:val="21"/>
        </w:rPr>
        <w:t xml:space="preserve">Instant Export Formats: </w:t>
      </w:r>
      <w:r>
        <w:rPr>
          <w:rFonts w:ascii="Calibri" w:hAnsi="Calibri"/>
          <w:b w:val="0"/>
          <w:i w:val="0"/>
          <w:color w:val="334155"/>
          <w:sz w:val="21"/>
        </w:rPr>
        <w:t>Export clean transaction tables to CSV, Excel, or direct general ledger staging.</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Reduces manual bookkeeping entry time by 80%, allowing one bookkeeper to manage 3x the client volume.</w:t>
      </w:r>
    </w:p>
    <w:p>
      <w:pPr>
        <w:keepNext/>
        <w:spacing w:before="280" w:after="80"/>
      </w:pPr>
      <w:r>
        <w:rPr>
          <w:rFonts w:ascii="Calibri" w:hAnsi="Calibri"/>
          <w:b/>
          <w:i w:val="0"/>
          <w:color w:val="0E7490"/>
          <w:sz w:val="28"/>
        </w:rPr>
        <w:t>Module 7: Check OCR &amp; General Ledger (GL) Matching Engine</w:t>
      </w:r>
    </w:p>
    <w:p>
      <w:pPr>
        <w:spacing w:before="0" w:after="120"/>
      </w:pPr>
      <w:r>
        <w:rPr>
          <w:rFonts w:ascii="Calibri" w:hAnsi="Calibri"/>
          <w:b/>
          <w:i/>
          <w:color w:val="0284C7"/>
          <w:sz w:val="22"/>
        </w:rPr>
        <w:t>« Digitize Scanned Checks &amp; Auto-Categorize Payees Against Your Chart of Accounts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Handling batches of paper checks from clients is a bookkeeping nightmare—manually deciphering handwritten amounts, matching check numbers to statements, and guessing expense accounts.</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“Never manually type a check memo again. Our Check OCR &amp; Matching Engine scans check images to extract payer, payee, check number, date, amount, and memo line. Then, our intelligent matching engine cross-references the payee against the client's Chart of Accounts and historical transaction patterns, suggesting the exact GL expense account automatically.”</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High-Precision Vision OCR: </w:t>
      </w:r>
      <w:r>
        <w:rPr>
          <w:rFonts w:ascii="Calibri" w:hAnsi="Calibri"/>
          <w:b w:val="0"/>
          <w:i w:val="0"/>
          <w:color w:val="334155"/>
          <w:sz w:val="21"/>
        </w:rPr>
        <w:t>Extracts Payer Name, Payee Name, Date, Check Number, Amount, and Memo from scanned checks and PDFs.</w:t>
      </w:r>
    </w:p>
    <w:p>
      <w:pPr>
        <w:pStyle w:val="ListBullet"/>
        <w:spacing w:before="40" w:after="60" w:line="276" w:lineRule="auto"/>
      </w:pPr>
      <w:r>
        <w:rPr>
          <w:rFonts w:ascii="Calibri" w:hAnsi="Calibri"/>
          <w:b/>
          <w:i w:val="0"/>
          <w:color w:val="1E293B"/>
          <w:sz w:val="21"/>
        </w:rPr>
        <w:t xml:space="preserve">Intelligent GL Matching Engine: </w:t>
      </w:r>
      <w:r>
        <w:rPr>
          <w:rFonts w:ascii="Calibri" w:hAnsi="Calibri"/>
          <w:b w:val="0"/>
          <w:i w:val="0"/>
          <w:color w:val="334155"/>
          <w:sz w:val="21"/>
        </w:rPr>
        <w:t>Learns vendor patterns and matches extracted payees against the client's Chart of Accounts.</w:t>
      </w:r>
    </w:p>
    <w:p>
      <w:pPr>
        <w:pStyle w:val="ListBullet"/>
        <w:spacing w:before="40" w:after="60" w:line="276" w:lineRule="auto"/>
      </w:pPr>
      <w:r>
        <w:rPr>
          <w:rFonts w:ascii="Calibri" w:hAnsi="Calibri"/>
          <w:b/>
          <w:i w:val="0"/>
          <w:color w:val="1E293B"/>
          <w:sz w:val="21"/>
        </w:rPr>
        <w:t xml:space="preserve">Batch Cloud Processing: </w:t>
      </w:r>
      <w:r>
        <w:rPr>
          <w:rFonts w:ascii="Calibri" w:hAnsi="Calibri"/>
          <w:b w:val="0"/>
          <w:i w:val="0"/>
          <w:color w:val="334155"/>
          <w:sz w:val="21"/>
        </w:rPr>
        <w:t>Process batches of check images stored in DigitalOcean Spaces in a single operation.</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Prevents categorization errors, accelerates month-end reconciliations, and leaves an unassailable digital paper trail.</w:t>
      </w:r>
    </w:p>
    <w:p>
      <w:pPr>
        <w:keepNext/>
        <w:spacing w:before="280" w:after="80"/>
      </w:pPr>
      <w:r>
        <w:rPr>
          <w:rFonts w:ascii="Calibri" w:hAnsi="Calibri"/>
          <w:b/>
          <w:i w:val="0"/>
          <w:color w:val="0E7490"/>
          <w:sz w:val="28"/>
        </w:rPr>
        <w:t>Module 8: Western Union Automated Check Processing Suite</w:t>
      </w:r>
    </w:p>
    <w:p>
      <w:pPr>
        <w:spacing w:before="0" w:after="120"/>
      </w:pPr>
      <w:r>
        <w:rPr>
          <w:rFonts w:ascii="Calibri" w:hAnsi="Calibri"/>
          <w:b/>
          <w:i/>
          <w:color w:val="0284C7"/>
          <w:sz w:val="22"/>
        </w:rPr>
        <w:t>« Hands-Free Commercial Check Collection &amp; Digital Archival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Commercial clients cashing hundreds of Western Union checks require staff to log in, click check by check, print to PDF, and rename files individually—eating up hours of productive time.</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“For high-volume retail and money-service clients, our automated browser orchestration handles the heavy lifting. The system navigates the Western Union portal, iterates through transaction tables, downloads check images, and systematically names and stores them as Check # &lt;XXXX&gt;.pdf—ready for instant OCR extraction and audit.”</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Browser Automation Orchestration: </w:t>
      </w:r>
      <w:r>
        <w:rPr>
          <w:rFonts w:ascii="Calibri" w:hAnsi="Calibri"/>
          <w:b w:val="0"/>
          <w:i w:val="0"/>
          <w:color w:val="334155"/>
          <w:sz w:val="21"/>
        </w:rPr>
        <w:t>Playwright-powered navigation with human-in-the-loop 2FA security prompt.</w:t>
      </w:r>
    </w:p>
    <w:p>
      <w:pPr>
        <w:pStyle w:val="ListBullet"/>
        <w:spacing w:before="40" w:after="60" w:line="276" w:lineRule="auto"/>
      </w:pPr>
      <w:r>
        <w:rPr>
          <w:rFonts w:ascii="Calibri" w:hAnsi="Calibri"/>
          <w:b/>
          <w:i w:val="0"/>
          <w:color w:val="1E293B"/>
          <w:sz w:val="21"/>
        </w:rPr>
        <w:t xml:space="preserve">Automated File Standardization: </w:t>
      </w:r>
      <w:r>
        <w:rPr>
          <w:rFonts w:ascii="Calibri" w:hAnsi="Calibri"/>
          <w:b w:val="0"/>
          <w:i w:val="0"/>
          <w:color w:val="334155"/>
          <w:sz w:val="21"/>
        </w:rPr>
        <w:t>Systematically saves and names check files matching check number sequences.</w:t>
      </w:r>
    </w:p>
    <w:p>
      <w:pPr>
        <w:pStyle w:val="ListBullet"/>
        <w:spacing w:before="40" w:after="60" w:line="276" w:lineRule="auto"/>
      </w:pPr>
      <w:r>
        <w:rPr>
          <w:rFonts w:ascii="Calibri" w:hAnsi="Calibri"/>
          <w:b/>
          <w:i w:val="0"/>
          <w:color w:val="1E293B"/>
          <w:sz w:val="21"/>
        </w:rPr>
        <w:t xml:space="preserve">Seamless Cloud Archival: </w:t>
      </w:r>
      <w:r>
        <w:rPr>
          <w:rFonts w:ascii="Calibri" w:hAnsi="Calibri"/>
          <w:b w:val="0"/>
          <w:i w:val="0"/>
          <w:color w:val="334155"/>
          <w:sz w:val="21"/>
        </w:rPr>
        <w:t>Direct pipeline connection into client cloud storage folders.</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Turns a 4-hour weekly manual task into a 2-minute automated background job.</w:t>
      </w:r>
    </w:p>
    <w:p>
      <w:pPr>
        <w:keepNext/>
        <w:spacing w:before="280" w:after="80"/>
      </w:pPr>
      <w:r>
        <w:rPr>
          <w:rFonts w:ascii="Calibri" w:hAnsi="Calibri"/>
          <w:b/>
          <w:i w:val="0"/>
          <w:color w:val="0E7490"/>
          <w:sz w:val="28"/>
        </w:rPr>
        <w:t>Module 9: Comprehensive Tax Preparation Center</w:t>
      </w:r>
    </w:p>
    <w:p>
      <w:pPr>
        <w:spacing w:before="0" w:after="120"/>
      </w:pPr>
      <w:r>
        <w:rPr>
          <w:rFonts w:ascii="Calibri" w:hAnsi="Calibri"/>
          <w:b/>
          <w:i/>
          <w:color w:val="0284C7"/>
          <w:sz w:val="22"/>
        </w:rPr>
        <w:t>« Individual &amp; Corporate Tax Preparation Under One Roof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Tax preparers switch between different software tools to manage Form 1040s, corporate returns, contractor 1099s, and payroll compliance.</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“The Tax Preparation Center is a purpose-built workspace engineered for tax professionals. From individual Form 1040s with Schedule C business deductions to complex S-Corp (1120-S) and C-Corp (1120) filings with shareholder K-1s, everything is centrally organized. Preparers can calculate return fees, generate Form 8879 e-file signature packets with one click, and track filing status directly from their screen.”</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Comprehensive IRS Form Coverage: </w:t>
      </w:r>
      <w:r>
        <w:rPr>
          <w:rFonts w:ascii="Calibri" w:hAnsi="Calibri"/>
          <w:b w:val="0"/>
          <w:i w:val="0"/>
          <w:color w:val="334155"/>
          <w:sz w:val="21"/>
        </w:rPr>
        <w:t>Full support for Forms 1040, 1040-SR, 1120, 1120-S, 1065, 941, 940, and 1099s.</w:t>
      </w:r>
    </w:p>
    <w:p>
      <w:pPr>
        <w:pStyle w:val="ListBullet"/>
        <w:spacing w:before="40" w:after="60" w:line="276" w:lineRule="auto"/>
      </w:pPr>
      <w:r>
        <w:rPr>
          <w:rFonts w:ascii="Calibri" w:hAnsi="Calibri"/>
          <w:b/>
          <w:i w:val="0"/>
          <w:color w:val="1E293B"/>
          <w:sz w:val="21"/>
        </w:rPr>
        <w:t xml:space="preserve">Form 8879 Variant Generator: </w:t>
      </w:r>
      <w:r>
        <w:rPr>
          <w:rFonts w:ascii="Calibri" w:hAnsi="Calibri"/>
          <w:b w:val="0"/>
          <w:i w:val="0"/>
          <w:color w:val="334155"/>
          <w:sz w:val="21"/>
        </w:rPr>
        <w:t>Instantly prepares e-file authorization forms for individuals, corporations, partnerships, and extensions.</w:t>
      </w:r>
    </w:p>
    <w:p>
      <w:pPr>
        <w:pStyle w:val="ListBullet"/>
        <w:spacing w:before="40" w:after="60" w:line="276" w:lineRule="auto"/>
      </w:pPr>
      <w:r>
        <w:rPr>
          <w:rFonts w:ascii="Calibri" w:hAnsi="Calibri"/>
          <w:b/>
          <w:i w:val="0"/>
          <w:color w:val="1E293B"/>
          <w:sz w:val="21"/>
        </w:rPr>
        <w:t xml:space="preserve">Role-Based Preparer Scoping: </w:t>
      </w:r>
      <w:r>
        <w:rPr>
          <w:rFonts w:ascii="Calibri" w:hAnsi="Calibri"/>
          <w:b w:val="0"/>
          <w:i w:val="0"/>
          <w:color w:val="334155"/>
          <w:sz w:val="21"/>
        </w:rPr>
        <w:t>Tax Preparer role isolates assigned client accounts, protecting privacy and firm data security.</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Standardizes preparation workflows across the firm and accelerates tax return completion and IRS submission.</w:t>
      </w:r>
    </w:p>
    <w:p>
      <w:pPr>
        <w:keepNext/>
        <w:spacing w:before="280" w:after="80"/>
      </w:pPr>
      <w:r>
        <w:rPr>
          <w:rFonts w:ascii="Calibri" w:hAnsi="Calibri"/>
          <w:b/>
          <w:i w:val="0"/>
          <w:color w:val="0E7490"/>
          <w:sz w:val="28"/>
        </w:rPr>
        <w:t>Module 10: Compliance Calendar &amp; Tax Deadline Engine</w:t>
      </w:r>
    </w:p>
    <w:p>
      <w:pPr>
        <w:spacing w:before="0" w:after="120"/>
      </w:pPr>
      <w:r>
        <w:rPr>
          <w:rFonts w:ascii="Calibri" w:hAnsi="Calibri"/>
          <w:b/>
          <w:i/>
          <w:color w:val="0284C7"/>
          <w:sz w:val="22"/>
        </w:rPr>
        <w:t>« Zero Missed Deadlines, Zero Late Penalties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Missing a state franchise tax deadline, quarterly Form 941 payroll filing, or estimated tax payment results in thousands of dollars in penalties and angry clients blaming the firm.</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“Never miss an IRS or state filing deadline again. The moment you onboard a client, our Preset Deadline Generator instantly builds their complete annual tax calendar based on their legal entity structure—whether it's an S-Corp, Partnership, or Sole Proprietor. Our automated alerts notify assigned preparers 7 days, 3 days, and day-of before deadlines. And when a client signs their return, the calendar event marks itself completed automatically.”</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Entity-Aware Preset Generator: </w:t>
      </w:r>
      <w:r>
        <w:rPr>
          <w:rFonts w:ascii="Calibri" w:hAnsi="Calibri"/>
          <w:b w:val="0"/>
          <w:i w:val="0"/>
          <w:color w:val="334155"/>
          <w:sz w:val="21"/>
        </w:rPr>
        <w:t>Auto-generates full-year tax compliance schedules for 1040, 1120-S, 1120, 1065, 941, 940, and annual franchise filings upon client creation.</w:t>
      </w:r>
    </w:p>
    <w:p>
      <w:pPr>
        <w:pStyle w:val="ListBullet"/>
        <w:spacing w:before="40" w:after="60" w:line="276" w:lineRule="auto"/>
      </w:pPr>
      <w:r>
        <w:rPr>
          <w:rFonts w:ascii="Calibri" w:hAnsi="Calibri"/>
          <w:b/>
          <w:i w:val="0"/>
          <w:color w:val="1E293B"/>
          <w:sz w:val="21"/>
        </w:rPr>
        <w:t xml:space="preserve">Automated Preparer Alerts: </w:t>
      </w:r>
      <w:r>
        <w:rPr>
          <w:rFonts w:ascii="Calibri" w:hAnsi="Calibri"/>
          <w:b w:val="0"/>
          <w:i w:val="0"/>
          <w:color w:val="334155"/>
          <w:sz w:val="21"/>
        </w:rPr>
        <w:t>Dispatches Resend email notifications strictly to assigned tax preparers 7 days, 3 days, and day-of upcoming deadlines.</w:t>
      </w:r>
    </w:p>
    <w:p>
      <w:pPr>
        <w:pStyle w:val="ListBullet"/>
        <w:spacing w:before="40" w:after="60" w:line="276" w:lineRule="auto"/>
      </w:pPr>
      <w:r>
        <w:rPr>
          <w:rFonts w:ascii="Calibri" w:hAnsi="Calibri"/>
          <w:b/>
          <w:i w:val="0"/>
          <w:color w:val="1E293B"/>
          <w:sz w:val="21"/>
        </w:rPr>
        <w:t xml:space="preserve">Interactive Calendar Grid: </w:t>
      </w:r>
      <w:r>
        <w:rPr>
          <w:rFonts w:ascii="Calibri" w:hAnsi="Calibri"/>
          <w:b w:val="0"/>
          <w:i w:val="0"/>
          <w:color w:val="334155"/>
          <w:sz w:val="21"/>
        </w:rPr>
        <w:t>Filter deadlines by jurisdiction, client, tax preparer, category, and status.</w:t>
      </w:r>
    </w:p>
    <w:p>
      <w:pPr>
        <w:pStyle w:val="ListBullet"/>
        <w:spacing w:before="40" w:after="60" w:line="276" w:lineRule="auto"/>
      </w:pPr>
      <w:r>
        <w:rPr>
          <w:rFonts w:ascii="Calibri" w:hAnsi="Calibri"/>
          <w:b/>
          <w:i w:val="0"/>
          <w:color w:val="1E293B"/>
          <w:sz w:val="21"/>
        </w:rPr>
        <w:t xml:space="preserve">Two-Way Signature Integration: </w:t>
      </w:r>
      <w:r>
        <w:rPr>
          <w:rFonts w:ascii="Calibri" w:hAnsi="Calibri"/>
          <w:b w:val="0"/>
          <w:i w:val="0"/>
          <w:color w:val="334155"/>
          <w:sz w:val="21"/>
        </w:rPr>
        <w:t>Completing an e-signature automatically updates the compliance event to Completed.</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Guarantees 100% on-time filing compliance, protects firm liability, and eliminates IRS late penalties.</w:t>
      </w:r>
    </w:p>
    <w:p>
      <w:pPr>
        <w:keepNext/>
        <w:spacing w:before="280" w:after="80"/>
      </w:pPr>
      <w:r>
        <w:rPr>
          <w:rFonts w:ascii="Calibri" w:hAnsi="Calibri"/>
          <w:b/>
          <w:i w:val="0"/>
          <w:color w:val="0E7490"/>
          <w:sz w:val="28"/>
        </w:rPr>
        <w:t>Module 11: Automated Billing, Recurring Invoicing &amp; MRR Engine</w:t>
      </w:r>
    </w:p>
    <w:p>
      <w:pPr>
        <w:spacing w:before="0" w:after="120"/>
      </w:pPr>
      <w:r>
        <w:rPr>
          <w:rFonts w:ascii="Calibri" w:hAnsi="Calibri"/>
          <w:b/>
          <w:i/>
          <w:color w:val="0284C7"/>
          <w:sz w:val="22"/>
        </w:rPr>
        <w:t>« Transform Sporadic Billing Into Predictable Recurring Revenue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Accounting firms routinely fail to bill on time for monthly advisory retainers, virtual office fees, or catch-up bookkeeping—leaving thousands in unbilled revenue on the table.</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“Put your firm's cash flow on autopilot. Set up Monthly, Quarterly, or Annual recurring billing schedules with smart catch-up prorated math for clients who join mid-cycle. Generate stunning, professional HTML invoices with itemized tax preparation charges and dispatch them directly via Resend email with one click. Track real-time Monthly Recurring Revenue (MRR) and outstanding receivables in your executive dashboard.”</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Flexible Billing Cycles: </w:t>
      </w:r>
      <w:r>
        <w:rPr>
          <w:rFonts w:ascii="Calibri" w:hAnsi="Calibri"/>
          <w:b w:val="0"/>
          <w:i w:val="0"/>
          <w:color w:val="334155"/>
          <w:sz w:val="21"/>
        </w:rPr>
        <w:t>Monthly, Quarterly, Annual retainers, or One-Time tax preparation fee schedules.</w:t>
      </w:r>
    </w:p>
    <w:p>
      <w:pPr>
        <w:pStyle w:val="ListBullet"/>
        <w:spacing w:before="40" w:after="60" w:line="276" w:lineRule="auto"/>
      </w:pPr>
      <w:r>
        <w:rPr>
          <w:rFonts w:ascii="Calibri" w:hAnsi="Calibri"/>
          <w:b/>
          <w:i w:val="0"/>
          <w:color w:val="1E293B"/>
          <w:sz w:val="21"/>
        </w:rPr>
        <w:t xml:space="preserve">Intelligent Catch-Up Billing: </w:t>
      </w:r>
      <w:r>
        <w:rPr>
          <w:rFonts w:ascii="Calibri" w:hAnsi="Calibri"/>
          <w:b w:val="0"/>
          <w:i w:val="0"/>
          <w:color w:val="334155"/>
          <w:sz w:val="21"/>
        </w:rPr>
        <w:t>Calculates retroactive prorated fees for clients onboarding mid-cycle.</w:t>
      </w:r>
    </w:p>
    <w:p>
      <w:pPr>
        <w:pStyle w:val="ListBullet"/>
        <w:spacing w:before="40" w:after="60" w:line="276" w:lineRule="auto"/>
      </w:pPr>
      <w:r>
        <w:rPr>
          <w:rFonts w:ascii="Calibri" w:hAnsi="Calibri"/>
          <w:b/>
          <w:i w:val="0"/>
          <w:color w:val="1E293B"/>
          <w:sz w:val="21"/>
        </w:rPr>
        <w:t xml:space="preserve">Professional HTML Invoice Generation: </w:t>
      </w:r>
      <w:r>
        <w:rPr>
          <w:rFonts w:ascii="Calibri" w:hAnsi="Calibri"/>
          <w:b w:val="0"/>
          <w:i w:val="0"/>
          <w:color w:val="334155"/>
          <w:sz w:val="21"/>
        </w:rPr>
        <w:t>Clean branded invoice generation with line items, tax, and discount fields.</w:t>
      </w:r>
    </w:p>
    <w:p>
      <w:pPr>
        <w:pStyle w:val="ListBullet"/>
        <w:spacing w:before="40" w:after="60" w:line="276" w:lineRule="auto"/>
      </w:pPr>
      <w:r>
        <w:rPr>
          <w:rFonts w:ascii="Calibri" w:hAnsi="Calibri"/>
          <w:b/>
          <w:i w:val="0"/>
          <w:color w:val="1E293B"/>
          <w:sz w:val="21"/>
        </w:rPr>
        <w:t xml:space="preserve">One-Click Resend Outbound Dispatch: </w:t>
      </w:r>
      <w:r>
        <w:rPr>
          <w:rFonts w:ascii="Calibri" w:hAnsi="Calibri"/>
          <w:b w:val="0"/>
          <w:i w:val="0"/>
          <w:color w:val="334155"/>
          <w:sz w:val="21"/>
        </w:rPr>
        <w:t>Dispatches HTML invoice notifications via Resend API with timestamp tracking.</w:t>
      </w:r>
    </w:p>
    <w:p>
      <w:pPr>
        <w:pStyle w:val="ListBullet"/>
        <w:spacing w:before="40" w:after="60" w:line="276" w:lineRule="auto"/>
      </w:pPr>
      <w:r>
        <w:rPr>
          <w:rFonts w:ascii="Calibri" w:hAnsi="Calibri"/>
          <w:b/>
          <w:i w:val="0"/>
          <w:color w:val="1E293B"/>
          <w:sz w:val="21"/>
        </w:rPr>
        <w:t xml:space="preserve">Real-Time Financial Dashboard: </w:t>
      </w:r>
      <w:r>
        <w:rPr>
          <w:rFonts w:ascii="Calibri" w:hAnsi="Calibri"/>
          <w:b w:val="0"/>
          <w:i w:val="0"/>
          <w:color w:val="334155"/>
          <w:sz w:val="21"/>
        </w:rPr>
        <w:t>Track total unbilled subscriptions, collected revenue, and overdue receivables.</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Accelerates accounts receivable collections by 3x and guarantees zero unbilled advisory work.</w:t>
      </w:r>
    </w:p>
    <w:p>
      <w:pPr>
        <w:keepNext/>
        <w:spacing w:before="280" w:after="80"/>
      </w:pPr>
      <w:r>
        <w:rPr>
          <w:rFonts w:ascii="Calibri" w:hAnsi="Calibri"/>
          <w:b/>
          <w:i w:val="0"/>
          <w:color w:val="0E7490"/>
          <w:sz w:val="28"/>
        </w:rPr>
        <w:t>Module 12: Unified Communications &amp; Inbound Email Inbox</w:t>
      </w:r>
    </w:p>
    <w:p>
      <w:pPr>
        <w:spacing w:before="0" w:after="120"/>
      </w:pPr>
      <w:r>
        <w:rPr>
          <w:rFonts w:ascii="Calibri" w:hAnsi="Calibri"/>
          <w:b/>
          <w:i/>
          <w:color w:val="0284C7"/>
          <w:sz w:val="22"/>
        </w:rPr>
        <w:t>« Never Lose Client Files or Emails in Personal Inboxes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Clients reply to invoices or send critical tax documents to individual staff emails, where they get buried, deleted, or ignored when an employee is sick or on vacation.</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“Unify all client communication into one shared team inbox. Inbound client emails sent to your firm address are captured via Resend webhooks and linked directly to the client's CRM profile. Even better, incoming email attachments are automatically extracted and archived into the client's cloud storage. Real-time unread badges in the navigation bar alert your team instantly whenever a client replies.”</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Automated Inbound Webhook Processor: </w:t>
      </w:r>
      <w:r>
        <w:rPr>
          <w:rFonts w:ascii="Calibri" w:hAnsi="Calibri"/>
          <w:b w:val="0"/>
          <w:i w:val="0"/>
          <w:color w:val="334155"/>
          <w:sz w:val="21"/>
        </w:rPr>
        <w:t>Captures client emails sent to notification@vrtservices12.com and links them to customer profiles.</w:t>
      </w:r>
    </w:p>
    <w:p>
      <w:pPr>
        <w:pStyle w:val="ListBullet"/>
        <w:spacing w:before="40" w:after="60" w:line="276" w:lineRule="auto"/>
      </w:pPr>
      <w:r>
        <w:rPr>
          <w:rFonts w:ascii="Calibri" w:hAnsi="Calibri"/>
          <w:b/>
          <w:i w:val="0"/>
          <w:color w:val="1E293B"/>
          <w:sz w:val="21"/>
        </w:rPr>
        <w:t xml:space="preserve">Automatic S3 Attachment Archival: </w:t>
      </w:r>
      <w:r>
        <w:rPr>
          <w:rFonts w:ascii="Calibri" w:hAnsi="Calibri"/>
          <w:b w:val="0"/>
          <w:i w:val="0"/>
          <w:color w:val="334155"/>
          <w:sz w:val="21"/>
        </w:rPr>
        <w:t>Extracts email attachments directly into the client's /Inbound_Email_Attachments cloud directory.</w:t>
      </w:r>
    </w:p>
    <w:p>
      <w:pPr>
        <w:pStyle w:val="ListBullet"/>
        <w:spacing w:before="40" w:after="60" w:line="276" w:lineRule="auto"/>
      </w:pPr>
      <w:r>
        <w:rPr>
          <w:rFonts w:ascii="Calibri" w:hAnsi="Calibri"/>
          <w:b/>
          <w:i w:val="0"/>
          <w:color w:val="1E293B"/>
          <w:sz w:val="21"/>
        </w:rPr>
        <w:t xml:space="preserve">15-Minute Deduplication Engine: </w:t>
      </w:r>
      <w:r>
        <w:rPr>
          <w:rFonts w:ascii="Calibri" w:hAnsi="Calibri"/>
          <w:b w:val="0"/>
          <w:i w:val="0"/>
          <w:color w:val="334155"/>
          <w:sz w:val="21"/>
        </w:rPr>
        <w:t>Prevents duplicate records and email spam from cluttering customer history.</w:t>
      </w:r>
    </w:p>
    <w:p>
      <w:pPr>
        <w:pStyle w:val="ListBullet"/>
        <w:spacing w:before="40" w:after="60" w:line="276" w:lineRule="auto"/>
      </w:pPr>
      <w:r>
        <w:rPr>
          <w:rFonts w:ascii="Calibri" w:hAnsi="Calibri"/>
          <w:b/>
          <w:i w:val="0"/>
          <w:color w:val="1E293B"/>
          <w:sz w:val="21"/>
        </w:rPr>
        <w:t xml:space="preserve">Top-Bar Unread Indicators: </w:t>
      </w:r>
      <w:r>
        <w:rPr>
          <w:rFonts w:ascii="Calibri" w:hAnsi="Calibri"/>
          <w:b w:val="0"/>
          <w:i w:val="0"/>
          <w:color w:val="334155"/>
          <w:sz w:val="21"/>
        </w:rPr>
        <w:t>Real-time unread reply count badge with one-click filter to view replying customers.</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Zero dropped client communications, unified team visibility, and automated file intake without manual downloading.</w:t>
      </w:r>
    </w:p>
    <w:p>
      <w:pPr>
        <w:keepNext/>
        <w:spacing w:before="280" w:after="80"/>
      </w:pPr>
      <w:r>
        <w:rPr>
          <w:rFonts w:ascii="Calibri" w:hAnsi="Calibri"/>
          <w:b/>
          <w:i w:val="0"/>
          <w:color w:val="0E7490"/>
          <w:sz w:val="28"/>
        </w:rPr>
        <w:t>Module 13: QuickBooks Online (QBO) Direct 2-Way Sync</w:t>
      </w:r>
    </w:p>
    <w:p>
      <w:pPr>
        <w:spacing w:before="0" w:after="120"/>
      </w:pPr>
      <w:r>
        <w:rPr>
          <w:rFonts w:ascii="Calibri" w:hAnsi="Calibri"/>
          <w:b/>
          <w:i/>
          <w:color w:val="0284C7"/>
          <w:sz w:val="22"/>
        </w:rPr>
        <w:t>« Seamless General Ledger &amp; Financial Synchronization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Re-entering invoices and chart of accounts data between your firm's CRM and QuickBooks is slow, tedious, and prone to accounting errors.</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“Bridge the gap between your CRM and QuickBooks Online. With our direct OAuth2 integration, connect your sandbox or production QuickBooks account in one click. Import your client's Chart of Accounts directly into VRT Services, and push generated invoices and journal entries straight into QBO without double-entry.”</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OAuth2 Direct Authentication: </w:t>
      </w:r>
      <w:r>
        <w:rPr>
          <w:rFonts w:ascii="Calibri" w:hAnsi="Calibri"/>
          <w:b w:val="0"/>
          <w:i w:val="0"/>
          <w:color w:val="334155"/>
          <w:sz w:val="21"/>
        </w:rPr>
        <w:t>Secure connection handling supporting both Sandbox testing and Production environments.</w:t>
      </w:r>
    </w:p>
    <w:p>
      <w:pPr>
        <w:pStyle w:val="ListBullet"/>
        <w:spacing w:before="40" w:after="60" w:line="276" w:lineRule="auto"/>
      </w:pPr>
      <w:r>
        <w:rPr>
          <w:rFonts w:ascii="Calibri" w:hAnsi="Calibri"/>
          <w:b/>
          <w:i w:val="0"/>
          <w:color w:val="1E293B"/>
          <w:sz w:val="21"/>
        </w:rPr>
        <w:t xml:space="preserve">Chart of Accounts Sync: </w:t>
      </w:r>
      <w:r>
        <w:rPr>
          <w:rFonts w:ascii="Calibri" w:hAnsi="Calibri"/>
          <w:b w:val="0"/>
          <w:i w:val="0"/>
          <w:color w:val="334155"/>
          <w:sz w:val="21"/>
        </w:rPr>
        <w:t>Synchronize general ledger accounts for automated transaction matching.</w:t>
      </w:r>
    </w:p>
    <w:p>
      <w:pPr>
        <w:pStyle w:val="ListBullet"/>
        <w:spacing w:before="40" w:after="60" w:line="276" w:lineRule="auto"/>
      </w:pPr>
      <w:r>
        <w:rPr>
          <w:rFonts w:ascii="Calibri" w:hAnsi="Calibri"/>
          <w:b/>
          <w:i w:val="0"/>
          <w:color w:val="1E293B"/>
          <w:sz w:val="21"/>
        </w:rPr>
        <w:t xml:space="preserve">Invoice &amp; Transaction Push: </w:t>
      </w:r>
      <w:r>
        <w:rPr>
          <w:rFonts w:ascii="Calibri" w:hAnsi="Calibri"/>
          <w:b w:val="0"/>
          <w:i w:val="0"/>
          <w:color w:val="334155"/>
          <w:sz w:val="21"/>
        </w:rPr>
        <w:t>Export invoices and transaction records directly into QuickBooks Online.</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Eliminates double-entry bookkeeping and ensures the general ledger matches CRM billing records perfectly.</w:t>
      </w:r>
    </w:p>
    <w:p>
      <w:pPr>
        <w:keepNext/>
        <w:spacing w:before="280" w:after="80"/>
      </w:pPr>
      <w:r>
        <w:rPr>
          <w:rFonts w:ascii="Calibri" w:hAnsi="Calibri"/>
          <w:b/>
          <w:i w:val="0"/>
          <w:color w:val="0E7490"/>
          <w:sz w:val="28"/>
        </w:rPr>
        <w:t>Module 14: AI Knowledge Base &amp; RAG Assistant (GPT-4o Mini)</w:t>
      </w:r>
    </w:p>
    <w:p>
      <w:pPr>
        <w:spacing w:before="0" w:after="120"/>
      </w:pPr>
      <w:r>
        <w:rPr>
          <w:rFonts w:ascii="Calibri" w:hAnsi="Calibri"/>
          <w:b/>
          <w:i/>
          <w:color w:val="0284C7"/>
          <w:sz w:val="22"/>
        </w:rPr>
        <w:t>« Your Firm's 24/7 In-House Tax &amp; Workflow Genius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New preparers constantly interrupt senior partners asking repetitive questions about firm procedures, IRS code interpretations, or standard checklists.</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“Give every employee a senior tax director in their pocket. Our AI Knowledge Base uses Retrieval-Augmented Generation (RAG) vector search to ingest your firm's internal SOPs, IRS guides, and tax strategies. Staff can open the AI Assistant from any screen and ask complex questions—getting instant, cited answers based strictly on your firm's approved documentation. With our active learning loop, the AI gets smarter with every interaction.”</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SOP &amp; IRS Document Ingestion: </w:t>
      </w:r>
      <w:r>
        <w:rPr>
          <w:rFonts w:ascii="Calibri" w:hAnsi="Calibri"/>
          <w:b w:val="0"/>
          <w:i w:val="0"/>
          <w:color w:val="334155"/>
          <w:sz w:val="21"/>
        </w:rPr>
        <w:t>Upload firm operating procedures, IRS guidelines, and client instructions.</w:t>
      </w:r>
    </w:p>
    <w:p>
      <w:pPr>
        <w:pStyle w:val="ListBullet"/>
        <w:spacing w:before="40" w:after="60" w:line="276" w:lineRule="auto"/>
      </w:pPr>
      <w:r>
        <w:rPr>
          <w:rFonts w:ascii="Calibri" w:hAnsi="Calibri"/>
          <w:b/>
          <w:i w:val="0"/>
          <w:color w:val="1E293B"/>
          <w:sz w:val="21"/>
        </w:rPr>
        <w:t xml:space="preserve">Vector Semantic Search: </w:t>
      </w:r>
      <w:r>
        <w:rPr>
          <w:rFonts w:ascii="Calibri" w:hAnsi="Calibri"/>
          <w:b w:val="0"/>
          <w:i w:val="0"/>
          <w:color w:val="334155"/>
          <w:sz w:val="21"/>
        </w:rPr>
        <w:t>Chunks text and queries vector embeddings to surface exact relevant paragraphs.</w:t>
      </w:r>
    </w:p>
    <w:p>
      <w:pPr>
        <w:pStyle w:val="ListBullet"/>
        <w:spacing w:before="40" w:after="60" w:line="276" w:lineRule="auto"/>
      </w:pPr>
      <w:r>
        <w:rPr>
          <w:rFonts w:ascii="Calibri" w:hAnsi="Calibri"/>
          <w:b/>
          <w:i w:val="0"/>
          <w:color w:val="1E293B"/>
          <w:sz w:val="21"/>
        </w:rPr>
        <w:t xml:space="preserve">Continuous Learning Loop: </w:t>
      </w:r>
      <w:r>
        <w:rPr>
          <w:rFonts w:ascii="Calibri" w:hAnsi="Calibri"/>
          <w:b w:val="0"/>
          <w:i w:val="0"/>
          <w:color w:val="334155"/>
          <w:sz w:val="21"/>
        </w:rPr>
        <w:t>Learns from staff corrections and feedback to refine future answers.</w:t>
      </w:r>
    </w:p>
    <w:p>
      <w:pPr>
        <w:pStyle w:val="ListBullet"/>
        <w:spacing w:before="40" w:after="60" w:line="276" w:lineRule="auto"/>
      </w:pPr>
      <w:r>
        <w:rPr>
          <w:rFonts w:ascii="Calibri" w:hAnsi="Calibri"/>
          <w:b/>
          <w:i w:val="0"/>
          <w:color w:val="1E293B"/>
          <w:sz w:val="21"/>
        </w:rPr>
        <w:t xml:space="preserve">Global Header AI Assistant Modal: </w:t>
      </w:r>
      <w:r>
        <w:rPr>
          <w:rFonts w:ascii="Calibri" w:hAnsi="Calibri"/>
          <w:b w:val="0"/>
          <w:i w:val="0"/>
          <w:color w:val="334155"/>
          <w:sz w:val="21"/>
        </w:rPr>
        <w:t>Accessible from anywhere in the platform with a single click.</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Cuts junior staff onboarding time in half and saves senior partners 5+ hours of routine questioning every week.</w:t>
      </w:r>
    </w:p>
    <w:p>
      <w:pPr>
        <w:keepNext/>
        <w:spacing w:before="280" w:after="80"/>
      </w:pPr>
      <w:r>
        <w:rPr>
          <w:rFonts w:ascii="Calibri" w:hAnsi="Calibri"/>
          <w:b/>
          <w:i w:val="0"/>
          <w:color w:val="0E7490"/>
          <w:sz w:val="28"/>
        </w:rPr>
        <w:t>Module 15: MyBooks Integrated Cloud Bookkeeping Platform</w:t>
      </w:r>
    </w:p>
    <w:p>
      <w:pPr>
        <w:spacing w:before="0" w:after="120"/>
      </w:pPr>
      <w:r>
        <w:rPr>
          <w:rFonts w:ascii="Calibri" w:hAnsi="Calibri"/>
          <w:b/>
          <w:i/>
          <w:color w:val="0284C7"/>
          <w:sz w:val="22"/>
        </w:rPr>
        <w:t>« A Seamless Transition From Tax Prep to Year-Round Advisory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Clients only talk to their CPA once a year at tax time, leaving their books in disarray for the rest of the year and limiting the firm's advisory revenue.</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“Transform one-off tax clients into year-round high-margin advisory accounts. Seamlessly integrated with https://mybooks.vrtservices12.com, VRT Services connects tax preparation to active cloud bookkeeping. Manage bank feeds, run monthly profit and loss statements, and balance sheets so that by the time tax season rolls around, the books are already closed and clean.”</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Integrated Bookkeeping Navigation: </w:t>
      </w:r>
      <w:r>
        <w:rPr>
          <w:rFonts w:ascii="Calibri" w:hAnsi="Calibri"/>
          <w:b w:val="0"/>
          <w:i w:val="0"/>
          <w:color w:val="334155"/>
          <w:sz w:val="21"/>
        </w:rPr>
        <w:t>Deep-linked access to the dedicated MyBooks cloud bookkeeping platform.</w:t>
      </w:r>
    </w:p>
    <w:p>
      <w:pPr>
        <w:pStyle w:val="ListBullet"/>
        <w:spacing w:before="40" w:after="60" w:line="276" w:lineRule="auto"/>
      </w:pPr>
      <w:r>
        <w:rPr>
          <w:rFonts w:ascii="Calibri" w:hAnsi="Calibri"/>
          <w:b/>
          <w:i w:val="0"/>
          <w:color w:val="1E293B"/>
          <w:sz w:val="21"/>
        </w:rPr>
        <w:t xml:space="preserve">Year-Round Financial Review: </w:t>
      </w:r>
      <w:r>
        <w:rPr>
          <w:rFonts w:ascii="Calibri" w:hAnsi="Calibri"/>
          <w:b w:val="0"/>
          <w:i w:val="0"/>
          <w:color w:val="334155"/>
          <w:sz w:val="21"/>
        </w:rPr>
        <w:t>Bank feeds, GL ledger maintenance, and monthly financial statement generation.</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Expands average client lifetime value from a $500 annual tax return to a $4,000+ annual recurring bookkeeping retainer.</w:t>
      </w:r>
    </w:p>
    <w:p>
      <w:pPr>
        <w:keepNext/>
        <w:spacing w:before="280" w:after="80"/>
      </w:pPr>
      <w:r>
        <w:rPr>
          <w:rFonts w:ascii="Calibri" w:hAnsi="Calibri"/>
          <w:b/>
          <w:i w:val="0"/>
          <w:color w:val="0E7490"/>
          <w:sz w:val="28"/>
        </w:rPr>
        <w:t>Module 16: Enterprise Security, 2FA/TOTP, RBAC &amp; Immutable Audit Logs</w:t>
      </w:r>
    </w:p>
    <w:p>
      <w:pPr>
        <w:spacing w:before="0" w:after="120"/>
      </w:pPr>
      <w:r>
        <w:rPr>
          <w:rFonts w:ascii="Calibri" w:hAnsi="Calibri"/>
          <w:b/>
          <w:i/>
          <w:color w:val="0284C7"/>
          <w:sz w:val="22"/>
        </w:rPr>
        <w:t>« Fort Knox Security for Sensitive Financial &amp; Tax Records »</w:t>
      </w:r>
    </w:p>
    <w:p>
      <w:pPr>
        <w:spacing w:before="40" w:after="80"/>
      </w:pPr>
      <w:r>
        <w:rPr>
          <w:rFonts w:ascii="Calibri" w:hAnsi="Calibri"/>
          <w:b/>
          <w:i w:val="0"/>
          <w:color w:val="B91C1C"/>
          <w:sz w:val="21"/>
        </w:rPr>
        <w:t xml:space="preserve">⚠️ The Industry Frustration: </w:t>
      </w:r>
      <w:r>
        <w:rPr>
          <w:rFonts w:ascii="Calibri" w:hAnsi="Calibri"/>
          <w:b w:val="0"/>
          <w:i w:val="0"/>
          <w:color w:val="475569"/>
          <w:sz w:val="21"/>
        </w:rPr>
        <w:t>A single data breach or unauthorized file deletion can ruin an accounting firm's reputation and trigger severe regulatory penalties.</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pPr>
              <w:spacing w:before="40" w:after="60"/>
            </w:pPr>
            <w:r>
              <w:rPr>
                <w:rFonts w:ascii="Calibri" w:hAnsi="Calibri"/>
                <w:b/>
                <w:color w:val="0284C7"/>
                <w:sz w:val="20"/>
              </w:rPr>
              <w:t xml:space="preserve">📌 THE WINNING SALES PITCH: </w:t>
            </w:r>
            <w:r>
              <w:rPr>
                <w:rFonts w:ascii="Calibri" w:hAnsi="Calibri"/>
                <w:i/>
                <w:color w:val="1E293B"/>
                <w:sz w:val="21"/>
              </w:rPr>
              <w:t>“Protect your clients and your license with enterprise-grade defense. VRT Services features full Role-Based Access Control (Admin, Tax Manager, Tax Preparer, QC Reviewer), ensuring staff only access the files and actions they are authorized to see. Every user account supports mandatory 2FA / TOTP authenticator app pairing, and our immutable audit log tracks every login, document view, deletion, and status change with exportable CSV audit trails.”</w:t>
            </w:r>
          </w:p>
        </w:tc>
      </w:tr>
    </w:tbl>
    <w:p>
      <w:pPr/>
    </w:p>
    <w:p>
      <w:pPr/>
      <w:r>
        <w:rPr>
          <w:rFonts w:ascii="Calibri" w:hAnsi="Calibri"/>
          <w:b/>
          <w:color w:val="0284C7"/>
          <w:sz w:val="28"/>
        </w:rPr>
        <w:t>Module 17: Inbound Lead Pipeline &amp; AI Proposal Acquisition Hub</w:t>
      </w:r>
    </w:p>
    <w:p>
      <w:pPr/>
      <w:r>
        <w:rPr>
          <w:rFonts w:ascii="Calibri" w:hAnsi="Calibri"/>
          <w:b/>
          <w:color w:val="7C3AED"/>
          <w:sz w:val="22"/>
        </w:rPr>
        <w:t>« Turn Cold Inquiries into High-Value Retainer Clients with Instant Bilingual AI Pitches »</w:t>
      </w:r>
    </w:p>
    <w:p>
      <w:pPr/>
      <w:r>
        <w:rPr>
          <w:rFonts w:ascii="Calibri" w:hAnsi="Calibri"/>
          <w:b/>
          <w:sz w:val="21"/>
        </w:rPr>
        <w:t xml:space="preserve">⚠️ The Industry Frustration: </w:t>
      </w:r>
      <w:r>
        <w:rPr>
          <w:rFonts w:ascii="Calibri" w:hAnsi="Calibri"/>
          <w:sz w:val="21"/>
        </w:rPr>
        <w:t>Tax and accounting firms lose up to 50% of inbound leads because they take days to respond with custom quotes or send generic, uninspiring email templates. Preparers waste billable hours drafting proposals from scratch, struggle to explain industry-specific tax deductions to trade prospects, and fumble handoffs into their CRM, leading to lost revenue and friction.</w:t>
      </w:r>
    </w:p>
    <w:p>
      <w:pPr/>
    </w:p>
    <w:p>
      <w:pPr/>
      <w:r>
        <w:rPr>
          <w:rFonts w:ascii="Calibri" w:hAnsi="Calibri"/>
          <w:b/>
          <w:sz w:val="22"/>
        </w:rPr>
        <w:t>Key Capabilities &amp; Differentiators:</w:t>
      </w:r>
    </w:p>
    <w:p>
      <w:pPr>
        <w:pStyle w:val="ListBullet"/>
      </w:pPr>
      <w:r>
        <w:rPr>
          <w:rFonts w:ascii="Calibri" w:hAnsi="Calibri"/>
          <w:b/>
          <w:sz w:val="21"/>
        </w:rPr>
        <w:t xml:space="preserve">Visual 7-Stage Pipeline Tracking: </w:t>
      </w:r>
      <w:r>
        <w:rPr>
          <w:rFonts w:ascii="Calibri" w:hAnsi="Calibri"/>
          <w:sz w:val="21"/>
        </w:rPr>
        <w:t>Real-time Kanban-style pipeline tracking across In Review, Contacted, Booked, Maybe, Won, Lost, and Processed with dynamic status color badges.</w:t>
      </w:r>
    </w:p>
    <w:p>
      <w:pPr>
        <w:pStyle w:val="ListBullet"/>
      </w:pPr>
      <w:r>
        <w:rPr>
          <w:rFonts w:ascii="Calibri" w:hAnsi="Calibri"/>
          <w:b/>
          <w:sz w:val="21"/>
        </w:rPr>
        <w:t xml:space="preserve">Bilingual AI Sales Pitch Generator (English &amp; Spanish 🇪🇸): </w:t>
      </w:r>
      <w:r>
        <w:rPr>
          <w:rFonts w:ascii="Calibri" w:hAnsi="Calibri"/>
          <w:sz w:val="21"/>
        </w:rPr>
        <w:t>Generates tailored 4-paragraph proposals in seconds positioning VRT Services exclusively in tax preparation, bookkeeping, payroll, and CFO advisory—highlighting specific write-offs and deductions for the prospect's industry.</w:t>
      </w:r>
    </w:p>
    <w:p>
      <w:pPr>
        <w:pStyle w:val="ListBullet"/>
      </w:pPr>
      <w:r>
        <w:rPr>
          <w:rFonts w:ascii="Calibri" w:hAnsi="Calibri"/>
          <w:b/>
          <w:sz w:val="21"/>
        </w:rPr>
        <w:t xml:space="preserve">Automated Discovery Assessment Link: </w:t>
      </w:r>
      <w:r>
        <w:rPr>
          <w:rFonts w:ascii="Calibri" w:hAnsi="Calibri"/>
          <w:sz w:val="21"/>
        </w:rPr>
        <w:t>One-click email trigger dispatching a digital discovery assessment questionnaire directly to prospects via Resend API to accelerate qualification.</w:t>
      </w:r>
    </w:p>
    <w:p>
      <w:pPr>
        <w:pStyle w:val="ListBullet"/>
      </w:pPr>
      <w:r>
        <w:rPr>
          <w:rFonts w:ascii="Calibri" w:hAnsi="Calibri"/>
          <w:b/>
          <w:sz w:val="21"/>
        </w:rPr>
        <w:t xml:space="preserve">1-Click Direct Customer Conversion: </w:t>
      </w:r>
      <w:r>
        <w:rPr>
          <w:rFonts w:ascii="Calibri" w:hAnsi="Calibri"/>
          <w:sz w:val="21"/>
        </w:rPr>
        <w:t>Seamlessly converts any won lead into an official active CRM customer—automatically generating sequential customer numbers (e.g., CUST-XXXX), porting contact data, and linking intake notes.</w:t>
      </w:r>
    </w:p>
    <w:p>
      <w:pPr>
        <w:pStyle w:val="ListBullet"/>
      </w:pPr>
      <w:r>
        <w:rPr>
          <w:rFonts w:ascii="Calibri" w:hAnsi="Calibri"/>
          <w:b/>
          <w:sz w:val="21"/>
        </w:rPr>
        <w:t xml:space="preserve">Customer-Grade Resend Emailing Suite: </w:t>
      </w:r>
      <w:r>
        <w:rPr>
          <w:rFonts w:ascii="Calibri" w:hAnsi="Calibri"/>
          <w:sz w:val="21"/>
        </w:rPr>
        <w:t>Launches the firm's rich email modal directly from the pipeline table to approve AI pitches or send personalized follow-ups without tab switching.</w:t>
      </w:r>
    </w:p>
    <w:p>
      <w:pPr>
        <w:pStyle w:val="ListBullet"/>
      </w:pPr>
      <w:r>
        <w:rPr>
          <w:rFonts w:ascii="Calibri" w:hAnsi="Calibri"/>
          <w:b/>
          <w:sz w:val="21"/>
        </w:rPr>
        <w:t xml:space="preserve">Isolated Safe Lead Deletion: </w:t>
      </w:r>
      <w:r>
        <w:rPr>
          <w:rFonts w:ascii="Calibri" w:hAnsi="Calibri"/>
          <w:sz w:val="21"/>
        </w:rPr>
        <w:t>Built-in deletion confirmation modals and dedicated database cascades ensuring leads are safely purged without ever altering or deleting active customer records.</w:t>
      </w:r>
    </w:p>
    <w:p>
      <w:pPr/>
      <w:r>
        <w:rPr>
          <w:rFonts w:ascii="Calibri" w:hAnsi="Calibri"/>
          <w:b/>
          <w:sz w:val="21"/>
        </w:rPr>
        <w:t xml:space="preserve">💰 Bottom-Line Impact &amp; ROI: </w:t>
      </w:r>
      <w:r>
        <w:rPr>
          <w:rFonts w:ascii="Calibri" w:hAnsi="Calibri"/>
          <w:sz w:val="21"/>
        </w:rPr>
        <w:t>Accelerates lead response time from 48 hours to under 60 seconds, lifts prospect conversion rates by up to 35%, and eliminates non-billable proposal writing for firm partners.</w:t>
      </w:r>
    </w:p>
    <w:p>
      <w:pP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36" w:space="0" w:color="0284C7"/>
              <w:bottom w:val="none"/>
              <w:right w:val="none"/>
            </w:tcBorders>
            <w:tcMar>
              <w:top w:w="140" w:type="dxa"/>
              <w:bottom w:w="140" w:type="dxa"/>
              <w:left w:w="200" w:type="dxa"/>
              <w:right w:w="200" w:type="dxa"/>
            </w:tcMar>
          </w:tcPr>
          <w:p>
            <w:r>
              <w:rPr>
                <w:rFonts w:ascii="Calibri" w:hAnsi="Calibri"/>
                <w:b/>
                <w:color w:val="0284C7"/>
                <w:sz w:val="21"/>
              </w:rPr>
              <w:t xml:space="preserve">📌 THE WINNING SALES PITCH: </w:t>
            </w:r>
            <w:r>
              <w:rPr>
                <w:rFonts w:ascii="Calibri" w:hAnsi="Calibri"/>
                <w:i/>
                <w:color w:val="1E293B"/>
                <w:sz w:val="21"/>
              </w:rPr>
              <w:t>“Never let another high-value tax or bookkeeping lead slip through the cracks. With VRT Services' Lead Pipeline, your firm responds in seconds with persuasive, industry-tailored proposals in fluent English or Spanish. When they say yes, a single click converts them into a fully provisioned client in your CRM—complete with their custom customer ID, discovery history, and compliance workflow ready to roll.”</w:t>
            </w:r>
          </w:p>
        </w:tc>
      </w:tr>
    </w:tbl>
    <w:p>
      <w:pPr>
        <w:spacing w:before="0" w:after="80"/>
      </w:pPr>
    </w:p>
    <w:p>
      <w:pPr>
        <w:spacing w:before="80" w:after="40"/>
      </w:pPr>
      <w:r>
        <w:rPr>
          <w:rFonts w:ascii="Calibri" w:hAnsi="Calibri"/>
          <w:b/>
          <w:i w:val="0"/>
          <w:color w:val="0F172A"/>
          <w:sz w:val="22"/>
        </w:rPr>
        <w:t>Key Capabilities &amp; Differentiators:</w:t>
      </w:r>
    </w:p>
    <w:p>
      <w:pPr>
        <w:pStyle w:val="ListBullet"/>
        <w:spacing w:before="40" w:after="60" w:line="276" w:lineRule="auto"/>
      </w:pPr>
      <w:r>
        <w:rPr>
          <w:rFonts w:ascii="Calibri" w:hAnsi="Calibri"/>
          <w:b/>
          <w:i w:val="0"/>
          <w:color w:val="1E293B"/>
          <w:sz w:val="21"/>
        </w:rPr>
        <w:t xml:space="preserve">Role-Based Access Control (RBAC): </w:t>
      </w:r>
      <w:r>
        <w:rPr>
          <w:rFonts w:ascii="Calibri" w:hAnsi="Calibri"/>
          <w:b w:val="0"/>
          <w:i w:val="0"/>
          <w:color w:val="334155"/>
          <w:sz w:val="21"/>
        </w:rPr>
        <w:t>Enforces permission boundaries across Administrator, Tax Manager, Tax Preparer, and QC Reviewer.</w:t>
      </w:r>
    </w:p>
    <w:p>
      <w:pPr>
        <w:pStyle w:val="ListBullet"/>
        <w:spacing w:before="40" w:after="60" w:line="276" w:lineRule="auto"/>
      </w:pPr>
      <w:r>
        <w:rPr>
          <w:rFonts w:ascii="Calibri" w:hAnsi="Calibri"/>
          <w:b/>
          <w:i w:val="0"/>
          <w:color w:val="1E293B"/>
          <w:sz w:val="21"/>
        </w:rPr>
        <w:t xml:space="preserve">Two-Factor Authentication (2FA/TOTP): </w:t>
      </w:r>
      <w:r>
        <w:rPr>
          <w:rFonts w:ascii="Calibri" w:hAnsi="Calibri"/>
          <w:b w:val="0"/>
          <w:i w:val="0"/>
          <w:color w:val="334155"/>
          <w:sz w:val="21"/>
        </w:rPr>
        <w:t>Time-based one-time password authenticator app pairing with QR code setup.</w:t>
      </w:r>
    </w:p>
    <w:p>
      <w:pPr>
        <w:pStyle w:val="ListBullet"/>
        <w:spacing w:before="40" w:after="60" w:line="276" w:lineRule="auto"/>
      </w:pPr>
      <w:r>
        <w:rPr>
          <w:rFonts w:ascii="Calibri" w:hAnsi="Calibri"/>
          <w:b/>
          <w:i w:val="0"/>
          <w:color w:val="1E293B"/>
          <w:sz w:val="21"/>
        </w:rPr>
        <w:t xml:space="preserve">Immutable Audit Trail: </w:t>
      </w:r>
      <w:r>
        <w:rPr>
          <w:rFonts w:ascii="Calibri" w:hAnsi="Calibri"/>
          <w:b w:val="0"/>
          <w:i w:val="0"/>
          <w:color w:val="334155"/>
          <w:sz w:val="21"/>
        </w:rPr>
        <w:t>Records logins, document views, deletions, e-signature dispatches, and status changes.</w:t>
      </w:r>
    </w:p>
    <w:p>
      <w:pPr>
        <w:pStyle w:val="ListBullet"/>
        <w:spacing w:before="40" w:after="60" w:line="276" w:lineRule="auto"/>
      </w:pPr>
      <w:r>
        <w:rPr>
          <w:rFonts w:ascii="Calibri" w:hAnsi="Calibri"/>
          <w:b/>
          <w:i w:val="0"/>
          <w:color w:val="1E293B"/>
          <w:sz w:val="21"/>
        </w:rPr>
        <w:t xml:space="preserve">Exportable Audit Logs: </w:t>
      </w:r>
      <w:r>
        <w:rPr>
          <w:rFonts w:ascii="Calibri" w:hAnsi="Calibri"/>
          <w:b w:val="0"/>
          <w:i w:val="0"/>
          <w:color w:val="334155"/>
          <w:sz w:val="21"/>
        </w:rPr>
        <w:t>One-click CSV audit trail export for compliance reporting.</w:t>
      </w:r>
    </w:p>
    <w:p>
      <w:pPr>
        <w:spacing w:before="80" w:after="240"/>
      </w:pPr>
      <w:r>
        <w:rPr>
          <w:rFonts w:ascii="Calibri" w:hAnsi="Calibri"/>
          <w:b/>
          <w:i w:val="0"/>
          <w:color w:val="15803D"/>
          <w:sz w:val="21"/>
        </w:rPr>
        <w:t xml:space="preserve">💰 Bottom-Line Impact &amp; ROI: </w:t>
      </w:r>
      <w:r>
        <w:rPr>
          <w:rFonts w:ascii="Calibri" w:hAnsi="Calibri"/>
          <w:b w:val="0"/>
          <w:i w:val="0"/>
          <w:color w:val="1E293B"/>
          <w:sz w:val="21"/>
        </w:rPr>
        <w:t>Total regulatory peace of mind, full compliance with taxpayer privacy laws, and complete protection against unauthorized data access.</w:t>
      </w:r>
    </w:p>
    <w:p>
      <w:r>
        <w:br w:type="page"/>
      </w:r>
    </w:p>
    <w:p>
      <w:pPr>
        <w:keepNext/>
        <w:spacing w:before="360" w:after="120"/>
      </w:pPr>
      <w:r>
        <w:rPr>
          <w:rFonts w:ascii="Calibri" w:hAnsi="Calibri"/>
          <w:b/>
          <w:i w:val="0"/>
          <w:color w:val="0F172A"/>
          <w:sz w:val="36"/>
        </w:rPr>
        <w:t>4. Tailored Closing Pitches by Target Audience</w:t>
      </w:r>
    </w:p>
    <w:p>
      <w:pPr>
        <w:keepNext/>
        <w:spacing w:before="280" w:after="80"/>
      </w:pPr>
      <w:r>
        <w:rPr>
          <w:rFonts w:ascii="Calibri" w:hAnsi="Calibri"/>
          <w:b/>
          <w:i w:val="0"/>
          <w:color w:val="0F172A"/>
          <w:sz w:val="28"/>
        </w:rPr>
        <w:t>For Firm Owners &amp; Managing Partners</w:t>
      </w:r>
    </w:p>
    <w:p>
      <w:pPr>
        <w:spacing w:before="40" w:after="160" w:line="276" w:lineRule="auto"/>
      </w:pPr>
      <w:r>
        <w:rPr>
          <w:rFonts w:ascii="Calibri" w:hAnsi="Calibri"/>
          <w:b w:val="0"/>
          <w:i/>
          <w:color w:val="1E293B"/>
          <w:sz w:val="22"/>
        </w:rPr>
        <w:t>“VRT Services gives you back control over your firm. Instead of paying thousands a month across separate CRM, DocuSign, cloud storage, and calendar tools, you get one unified platform where every piece of data connects. Your team works faster, your overhead drops immediately, and your practice runs with institutional precision.”</w:t>
      </w:r>
    </w:p>
    <w:p>
      <w:pPr>
        <w:keepNext/>
        <w:spacing w:before="280" w:after="80"/>
      </w:pPr>
      <w:r>
        <w:rPr>
          <w:rFonts w:ascii="Calibri" w:hAnsi="Calibri"/>
          <w:b/>
          <w:i w:val="0"/>
          <w:color w:val="0F172A"/>
          <w:sz w:val="28"/>
        </w:rPr>
        <w:t>For Tax Preparers &amp; Staff Accountants</w:t>
      </w:r>
    </w:p>
    <w:p>
      <w:pPr>
        <w:spacing w:before="40" w:after="160" w:line="276" w:lineRule="auto"/>
      </w:pPr>
      <w:r>
        <w:rPr>
          <w:rFonts w:ascii="Calibri" w:hAnsi="Calibri"/>
          <w:b w:val="0"/>
          <w:i/>
          <w:color w:val="1E293B"/>
          <w:sz w:val="22"/>
        </w:rPr>
        <w:t>“No more digging through emails for missing W-2s, no more manually typing bank statement numbers into spreadsheets, and no more chasing clients for signatures. VRT Services handles the intake, extracts the numbers, automates the Form 8879 dispatch, and lets you focus on high-value tax advisory.”</w:t>
      </w:r>
    </w:p>
    <w:p>
      <w:pPr>
        <w:keepNext/>
        <w:spacing w:before="280" w:after="80"/>
      </w:pPr>
      <w:r>
        <w:rPr>
          <w:rFonts w:ascii="Calibri" w:hAnsi="Calibri"/>
          <w:b/>
          <w:i w:val="0"/>
          <w:color w:val="0F172A"/>
          <w:sz w:val="28"/>
        </w:rPr>
        <w:t>For Business Clients &amp; Taxpayers</w:t>
      </w:r>
    </w:p>
    <w:p>
      <w:pPr>
        <w:spacing w:before="40" w:after="280" w:line="276" w:lineRule="auto"/>
      </w:pPr>
      <w:r>
        <w:rPr>
          <w:rFonts w:ascii="Calibri" w:hAnsi="Calibri"/>
          <w:b w:val="0"/>
          <w:i/>
          <w:color w:val="1E293B"/>
          <w:sz w:val="22"/>
        </w:rPr>
        <w:t>“Working with our firm is effortless. Upload your tax documents securely in seconds from your phone, get real-time visibility into your filing status, sign your IRS Form 8879 electronically with a single tap, and access your historical returns anytime from your private portal.”</w:t>
      </w:r>
    </w:p>
    <w:p>
      <w:pPr>
        <w:keepNext/>
        <w:spacing w:before="360" w:after="120"/>
      </w:pPr>
      <w:r>
        <w:rPr>
          <w:rFonts w:ascii="Calibri" w:hAnsi="Calibri"/>
          <w:b/>
          <w:i w:val="0"/>
          <w:color w:val="0F172A"/>
          <w:sz w:val="36"/>
        </w:rPr>
        <w:t>5. Software Replacement &amp; Feature Value Matrix</w:t>
      </w:r>
    </w:p>
    <w:tbl>
      <w:tblPr>
        <w:tblW w:type="auto" w:w="0"/>
        <w:jc w:val="center"/>
        <w:tblLayout w:type="fixed"/>
        <w:tblLook w:firstColumn="1" w:firstRow="1" w:lastColumn="0" w:lastRow="0" w:noHBand="0" w:noVBand="1" w:val="04A0"/>
      </w:tblPr>
      <w:tblGrid>
        <w:gridCol w:w="3312"/>
        <w:gridCol w:w="3312"/>
        <w:gridCol w:w="3312"/>
      </w:tblGrid>
      <w:tr>
        <w:tc>
          <w:tcPr>
            <w:tcW w:type="dxa" w:w="3168"/>
            <w:vAlign w:val="center"/>
            <w:tcMar>
              <w:top w:w="100" w:type="dxa"/>
              <w:bottom w:w="100" w:type="dxa"/>
              <w:left w:w="140" w:type="dxa"/>
              <w:right w:w="140" w:type="dxa"/>
            </w:tcMar>
            <w:shd w:fill="0F172A"/>
          </w:tcPr>
          <w:p>
            <w:pPr>
              <w:spacing w:before="40" w:after="40"/>
            </w:pPr>
            <w:r>
              <w:rPr>
                <w:rFonts w:ascii="Calibri" w:hAnsi="Calibri"/>
                <w:b/>
                <w:i w:val="0"/>
                <w:color w:val="FFFFFF"/>
                <w:sz w:val="20"/>
              </w:rPr>
              <w:t>Module</w:t>
            </w:r>
          </w:p>
        </w:tc>
        <w:tc>
          <w:tcPr>
            <w:tcW w:type="dxa" w:w="3888"/>
            <w:vAlign w:val="center"/>
            <w:tcMar>
              <w:top w:w="100" w:type="dxa"/>
              <w:bottom w:w="100" w:type="dxa"/>
              <w:left w:w="140" w:type="dxa"/>
              <w:right w:w="140" w:type="dxa"/>
            </w:tcMar>
            <w:shd w:fill="0F172A"/>
          </w:tcPr>
          <w:p>
            <w:pPr>
              <w:spacing w:before="40" w:after="40"/>
            </w:pPr>
            <w:r>
              <w:rPr>
                <w:rFonts w:ascii="Calibri" w:hAnsi="Calibri"/>
                <w:b/>
                <w:i w:val="0"/>
                <w:color w:val="FFFFFF"/>
                <w:sz w:val="20"/>
              </w:rPr>
              <w:t>Primary Business Value</w:t>
            </w:r>
          </w:p>
        </w:tc>
        <w:tc>
          <w:tcPr>
            <w:tcW w:type="dxa" w:w="2880"/>
            <w:vAlign w:val="center"/>
            <w:tcMar>
              <w:top w:w="100" w:type="dxa"/>
              <w:bottom w:w="100" w:type="dxa"/>
              <w:left w:w="140" w:type="dxa"/>
              <w:right w:w="140" w:type="dxa"/>
            </w:tcMar>
            <w:shd w:fill="0F172A"/>
          </w:tcPr>
          <w:p>
            <w:pPr>
              <w:spacing w:before="40" w:after="40"/>
            </w:pPr>
            <w:r>
              <w:rPr>
                <w:rFonts w:ascii="Calibri" w:hAnsi="Calibri"/>
                <w:b/>
                <w:i w:val="0"/>
                <w:color w:val="FFFFFF"/>
                <w:sz w:val="20"/>
              </w:rPr>
              <w:t>Software Replaced</w:t>
            </w:r>
          </w:p>
        </w:tc>
      </w:tr>
      <w:tr>
        <w:tc>
          <w:tcPr>
            <w:tcW w:type="dxa" w:w="3168"/>
            <w:vAlign w:val="center"/>
            <w:tcMar>
              <w:top w:w="100" w:type="dxa"/>
              <w:bottom w:w="100" w:type="dxa"/>
              <w:left w:w="140" w:type="dxa"/>
              <w:right w:w="140" w:type="dxa"/>
            </w:tcMar>
            <w:shd w:fill="F8FAFC"/>
          </w:tcPr>
          <w:p>
            <w:pPr>
              <w:spacing w:before="40" w:after="40"/>
            </w:pPr>
            <w:r>
              <w:rPr>
                <w:rFonts w:ascii="Calibri" w:hAnsi="Calibri"/>
                <w:b/>
                <w:i w:val="0"/>
                <w:color w:val="1E293B"/>
                <w:sz w:val="19"/>
              </w:rPr>
              <w:t>Executive Command Center</w:t>
            </w:r>
          </w:p>
        </w:tc>
        <w:tc>
          <w:tcPr>
            <w:tcW w:type="dxa" w:w="3888"/>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Instant firm-wide KPI &amp; revenue visibility</w:t>
            </w:r>
          </w:p>
        </w:tc>
        <w:tc>
          <w:tcPr>
            <w:tcW w:type="dxa" w:w="2880"/>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Manual spreadsheets &amp; status meetings</w:t>
            </w:r>
          </w:p>
        </w:tc>
      </w:tr>
      <w:tr>
        <w:tc>
          <w:tcPr>
            <w:tcW w:type="dxa" w:w="3168"/>
            <w:vAlign w:val="center"/>
            <w:tcMar>
              <w:top w:w="100" w:type="dxa"/>
              <w:bottom w:w="100" w:type="dxa"/>
              <w:left w:w="140" w:type="dxa"/>
              <w:right w:w="140" w:type="dxa"/>
            </w:tcMar>
            <w:shd w:fill="FFFFFF"/>
          </w:tcPr>
          <w:p>
            <w:pPr>
              <w:spacing w:before="40" w:after="40"/>
            </w:pPr>
            <w:r>
              <w:rPr>
                <w:rFonts w:ascii="Calibri" w:hAnsi="Calibri"/>
                <w:b/>
                <w:i w:val="0"/>
                <w:color w:val="1E293B"/>
                <w:sz w:val="19"/>
              </w:rPr>
              <w:t>CRM &amp; 4-Step Tax Pipeline</w:t>
            </w:r>
          </w:p>
        </w:tc>
        <w:tc>
          <w:tcPr>
            <w:tcW w:type="dxa" w:w="3888"/>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Standardized assembly-line tax preparation</w:t>
            </w:r>
          </w:p>
        </w:tc>
        <w:tc>
          <w:tcPr>
            <w:tcW w:type="dxa" w:w="2880"/>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Scattered customer notes &amp; email threads</w:t>
            </w:r>
          </w:p>
        </w:tc>
      </w:tr>
      <w:tr>
        <w:tc>
          <w:tcPr>
            <w:tcW w:type="dxa" w:w="3168"/>
            <w:vAlign w:val="center"/>
            <w:tcMar>
              <w:top w:w="100" w:type="dxa"/>
              <w:bottom w:w="100" w:type="dxa"/>
              <w:left w:w="140" w:type="dxa"/>
              <w:right w:w="140" w:type="dxa"/>
            </w:tcMar>
            <w:shd w:fill="F8FAFC"/>
          </w:tcPr>
          <w:p>
            <w:pPr>
              <w:spacing w:before="40" w:after="40"/>
            </w:pPr>
            <w:r>
              <w:rPr>
                <w:rFonts w:ascii="Calibri" w:hAnsi="Calibri"/>
                <w:b/>
                <w:i w:val="0"/>
                <w:color w:val="1E293B"/>
                <w:sz w:val="19"/>
              </w:rPr>
              <w:t>Client Intake Portal</w:t>
            </w:r>
          </w:p>
        </w:tc>
        <w:tc>
          <w:tcPr>
            <w:tcW w:type="dxa" w:w="3888"/>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Frictionless drag-and-drop document intake</w:t>
            </w:r>
          </w:p>
        </w:tc>
        <w:tc>
          <w:tcPr>
            <w:tcW w:type="dxa" w:w="2880"/>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Confusing 3rd-party client portals</w:t>
            </w:r>
          </w:p>
        </w:tc>
      </w:tr>
      <w:tr>
        <w:tc>
          <w:tcPr>
            <w:tcW w:type="dxa" w:w="3168"/>
            <w:vAlign w:val="center"/>
            <w:tcMar>
              <w:top w:w="100" w:type="dxa"/>
              <w:bottom w:w="100" w:type="dxa"/>
              <w:left w:w="140" w:type="dxa"/>
              <w:right w:w="140" w:type="dxa"/>
            </w:tcMar>
            <w:shd w:fill="FFFFFF"/>
          </w:tcPr>
          <w:p>
            <w:pPr>
              <w:spacing w:before="40" w:after="40"/>
            </w:pPr>
            <w:r>
              <w:rPr>
                <w:rFonts w:ascii="Calibri" w:hAnsi="Calibri"/>
                <w:b/>
                <w:i w:val="0"/>
                <w:color w:val="1E293B"/>
                <w:sz w:val="19"/>
              </w:rPr>
              <w:t>Cloud Storage Manager</w:t>
            </w:r>
          </w:p>
        </w:tc>
        <w:tc>
          <w:tcPr>
            <w:tcW w:type="dxa" w:w="3888"/>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Structured S3 folders for every customer</w:t>
            </w:r>
          </w:p>
        </w:tc>
        <w:tc>
          <w:tcPr>
            <w:tcW w:type="dxa" w:w="2880"/>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Expensive Dropbox / Box business plans</w:t>
            </w:r>
          </w:p>
        </w:tc>
      </w:tr>
      <w:tr>
        <w:tc>
          <w:tcPr>
            <w:tcW w:type="dxa" w:w="3168"/>
            <w:vAlign w:val="center"/>
            <w:tcMar>
              <w:top w:w="100" w:type="dxa"/>
              <w:bottom w:w="100" w:type="dxa"/>
              <w:left w:w="140" w:type="dxa"/>
              <w:right w:w="140" w:type="dxa"/>
            </w:tcMar>
            <w:shd w:fill="F8FAFC"/>
          </w:tcPr>
          <w:p>
            <w:pPr>
              <w:spacing w:before="40" w:after="40"/>
            </w:pPr>
            <w:r>
              <w:rPr>
                <w:rFonts w:ascii="Calibri" w:hAnsi="Calibri"/>
                <w:b/>
                <w:i w:val="0"/>
                <w:color w:val="1E293B"/>
                <w:sz w:val="19"/>
              </w:rPr>
              <w:t>Self-Hosted DocuSeal E-Sign</w:t>
            </w:r>
          </w:p>
        </w:tc>
        <w:tc>
          <w:tcPr>
            <w:tcW w:type="dxa" w:w="3888"/>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100% IRS § 7216 compliant e-signatures</w:t>
            </w:r>
          </w:p>
        </w:tc>
        <w:tc>
          <w:tcPr>
            <w:tcW w:type="dxa" w:w="2880"/>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Costly DocuSign / HelloSign subscriptions</w:t>
            </w:r>
          </w:p>
        </w:tc>
      </w:tr>
      <w:tr>
        <w:tc>
          <w:tcPr>
            <w:tcW w:type="dxa" w:w="3168"/>
            <w:vAlign w:val="center"/>
            <w:tcMar>
              <w:top w:w="100" w:type="dxa"/>
              <w:bottom w:w="100" w:type="dxa"/>
              <w:left w:w="140" w:type="dxa"/>
              <w:right w:w="140" w:type="dxa"/>
            </w:tcMar>
            <w:shd w:fill="FFFFFF"/>
          </w:tcPr>
          <w:p>
            <w:pPr>
              <w:spacing w:before="40" w:after="40"/>
            </w:pPr>
            <w:r>
              <w:rPr>
                <w:rFonts w:ascii="Calibri" w:hAnsi="Calibri"/>
                <w:b/>
                <w:i w:val="0"/>
                <w:color w:val="1E293B"/>
                <w:sz w:val="19"/>
              </w:rPr>
              <w:t>Bank Statement OCR</w:t>
            </w:r>
          </w:p>
        </w:tc>
        <w:tc>
          <w:tcPr>
            <w:tcW w:type="dxa" w:w="3888"/>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Automated multi-page table extraction</w:t>
            </w:r>
          </w:p>
        </w:tc>
        <w:tc>
          <w:tcPr>
            <w:tcW w:type="dxa" w:w="2880"/>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Manual bookkeeping entry in Excel</w:t>
            </w:r>
          </w:p>
        </w:tc>
      </w:tr>
      <w:tr>
        <w:tc>
          <w:tcPr>
            <w:tcW w:type="dxa" w:w="3168"/>
            <w:vAlign w:val="center"/>
            <w:tcMar>
              <w:top w:w="100" w:type="dxa"/>
              <w:bottom w:w="100" w:type="dxa"/>
              <w:left w:w="140" w:type="dxa"/>
              <w:right w:w="140" w:type="dxa"/>
            </w:tcMar>
            <w:shd w:fill="F8FAFC"/>
          </w:tcPr>
          <w:p>
            <w:pPr>
              <w:spacing w:before="40" w:after="40"/>
            </w:pPr>
            <w:r>
              <w:rPr>
                <w:rFonts w:ascii="Calibri" w:hAnsi="Calibri"/>
                <w:b/>
                <w:i w:val="0"/>
                <w:color w:val="1E293B"/>
                <w:sz w:val="19"/>
              </w:rPr>
              <w:t>Check OCR &amp; GL Matching</w:t>
            </w:r>
          </w:p>
        </w:tc>
        <w:tc>
          <w:tcPr>
            <w:tcW w:type="dxa" w:w="3888"/>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Scanned check parsing &amp; GL matching</w:t>
            </w:r>
          </w:p>
        </w:tc>
        <w:tc>
          <w:tcPr>
            <w:tcW w:type="dxa" w:w="2880"/>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Manual check typing &amp; categorization errors</w:t>
            </w:r>
          </w:p>
        </w:tc>
      </w:tr>
      <w:tr>
        <w:tc>
          <w:tcPr>
            <w:tcW w:type="dxa" w:w="3168"/>
            <w:vAlign w:val="center"/>
            <w:tcMar>
              <w:top w:w="100" w:type="dxa"/>
              <w:bottom w:w="100" w:type="dxa"/>
              <w:left w:w="140" w:type="dxa"/>
              <w:right w:w="140" w:type="dxa"/>
            </w:tcMar>
            <w:shd w:fill="FFFFFF"/>
          </w:tcPr>
          <w:p>
            <w:pPr>
              <w:spacing w:before="40" w:after="40"/>
            </w:pPr>
            <w:r>
              <w:rPr>
                <w:rFonts w:ascii="Calibri" w:hAnsi="Calibri"/>
                <w:b/>
                <w:i w:val="0"/>
                <w:color w:val="1E293B"/>
                <w:sz w:val="19"/>
              </w:rPr>
              <w:t>Western Union Automation</w:t>
            </w:r>
          </w:p>
        </w:tc>
        <w:tc>
          <w:tcPr>
            <w:tcW w:type="dxa" w:w="3888"/>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Automated check image retrieval &amp; naming</w:t>
            </w:r>
          </w:p>
        </w:tc>
        <w:tc>
          <w:tcPr>
            <w:tcW w:type="dxa" w:w="2880"/>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Repetitive manual web clicking</w:t>
            </w:r>
          </w:p>
        </w:tc>
      </w:tr>
      <w:tr>
        <w:tc>
          <w:tcPr>
            <w:tcW w:type="dxa" w:w="3168"/>
            <w:vAlign w:val="center"/>
            <w:tcMar>
              <w:top w:w="100" w:type="dxa"/>
              <w:bottom w:w="100" w:type="dxa"/>
              <w:left w:w="140" w:type="dxa"/>
              <w:right w:w="140" w:type="dxa"/>
            </w:tcMar>
            <w:shd w:fill="F8FAFC"/>
          </w:tcPr>
          <w:p>
            <w:pPr>
              <w:spacing w:before="40" w:after="40"/>
            </w:pPr>
            <w:r>
              <w:rPr>
                <w:rFonts w:ascii="Calibri" w:hAnsi="Calibri"/>
                <w:b/>
                <w:i w:val="0"/>
                <w:color w:val="1E293B"/>
                <w:sz w:val="19"/>
              </w:rPr>
              <w:t>Tax Preparation Center</w:t>
            </w:r>
          </w:p>
        </w:tc>
        <w:tc>
          <w:tcPr>
            <w:tcW w:type="dxa" w:w="3888"/>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Unified workspace for 1040, 1120, 1065</w:t>
            </w:r>
          </w:p>
        </w:tc>
        <w:tc>
          <w:tcPr>
            <w:tcW w:type="dxa" w:w="2880"/>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Fragmented tax calculation tools</w:t>
            </w:r>
          </w:p>
        </w:tc>
      </w:tr>
      <w:tr>
        <w:tc>
          <w:tcPr>
            <w:tcW w:type="dxa" w:w="3168"/>
            <w:vAlign w:val="center"/>
            <w:tcMar>
              <w:top w:w="100" w:type="dxa"/>
              <w:bottom w:w="100" w:type="dxa"/>
              <w:left w:w="140" w:type="dxa"/>
              <w:right w:w="140" w:type="dxa"/>
            </w:tcMar>
            <w:shd w:fill="FFFFFF"/>
          </w:tcPr>
          <w:p>
            <w:pPr>
              <w:spacing w:before="40" w:after="40"/>
            </w:pPr>
            <w:r>
              <w:rPr>
                <w:rFonts w:ascii="Calibri" w:hAnsi="Calibri"/>
                <w:b/>
                <w:i w:val="0"/>
                <w:color w:val="1E293B"/>
                <w:sz w:val="19"/>
              </w:rPr>
              <w:t>Compliance Calendar Engine</w:t>
            </w:r>
          </w:p>
        </w:tc>
        <w:tc>
          <w:tcPr>
            <w:tcW w:type="dxa" w:w="3888"/>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Automated preset federal &amp; state deadlines</w:t>
            </w:r>
          </w:p>
        </w:tc>
        <w:tc>
          <w:tcPr>
            <w:tcW w:type="dxa" w:w="2880"/>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Missed IRS deadlines &amp; late penalties</w:t>
            </w:r>
          </w:p>
        </w:tc>
      </w:tr>
      <w:tr>
        <w:tc>
          <w:tcPr>
            <w:tcW w:type="dxa" w:w="3168"/>
            <w:vAlign w:val="center"/>
            <w:tcMar>
              <w:top w:w="100" w:type="dxa"/>
              <w:bottom w:w="100" w:type="dxa"/>
              <w:left w:w="140" w:type="dxa"/>
              <w:right w:w="140" w:type="dxa"/>
            </w:tcMar>
            <w:shd w:fill="F8FAFC"/>
          </w:tcPr>
          <w:p>
            <w:pPr>
              <w:spacing w:before="40" w:after="40"/>
            </w:pPr>
            <w:r>
              <w:rPr>
                <w:rFonts w:ascii="Calibri" w:hAnsi="Calibri"/>
                <w:b/>
                <w:i w:val="0"/>
                <w:color w:val="1E293B"/>
                <w:sz w:val="19"/>
              </w:rPr>
              <w:t>Automated Billing &amp; MRR</w:t>
            </w:r>
          </w:p>
        </w:tc>
        <w:tc>
          <w:tcPr>
            <w:tcW w:type="dxa" w:w="3888"/>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Recurring contracts, catch-up math &amp; Resend</w:t>
            </w:r>
          </w:p>
        </w:tc>
        <w:tc>
          <w:tcPr>
            <w:tcW w:type="dxa" w:w="2880"/>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Unbilled advisory hours &amp; slow collections</w:t>
            </w:r>
          </w:p>
        </w:tc>
      </w:tr>
      <w:tr>
        <w:tc>
          <w:tcPr>
            <w:tcW w:type="dxa" w:w="3168"/>
            <w:vAlign w:val="center"/>
            <w:tcMar>
              <w:top w:w="100" w:type="dxa"/>
              <w:bottom w:w="100" w:type="dxa"/>
              <w:left w:w="140" w:type="dxa"/>
              <w:right w:w="140" w:type="dxa"/>
            </w:tcMar>
            <w:shd w:fill="FFFFFF"/>
          </w:tcPr>
          <w:p>
            <w:pPr>
              <w:spacing w:before="40" w:after="40"/>
            </w:pPr>
            <w:r>
              <w:rPr>
                <w:rFonts w:ascii="Calibri" w:hAnsi="Calibri"/>
                <w:b/>
                <w:i w:val="0"/>
                <w:color w:val="1E293B"/>
                <w:sz w:val="19"/>
              </w:rPr>
              <w:t>Unified Communications</w:t>
            </w:r>
          </w:p>
        </w:tc>
        <w:tc>
          <w:tcPr>
            <w:tcW w:type="dxa" w:w="3888"/>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Auto-archival of inbound emails &amp; files</w:t>
            </w:r>
          </w:p>
        </w:tc>
        <w:tc>
          <w:tcPr>
            <w:tcW w:type="dxa" w:w="2880"/>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Clogged personal email inboxes</w:t>
            </w:r>
          </w:p>
        </w:tc>
      </w:tr>
      <w:tr>
        <w:tc>
          <w:tcPr>
            <w:tcW w:type="dxa" w:w="3168"/>
            <w:vAlign w:val="center"/>
            <w:tcMar>
              <w:top w:w="100" w:type="dxa"/>
              <w:bottom w:w="100" w:type="dxa"/>
              <w:left w:w="140" w:type="dxa"/>
              <w:right w:w="140" w:type="dxa"/>
            </w:tcMar>
            <w:shd w:fill="F8FAFC"/>
          </w:tcPr>
          <w:p>
            <w:pPr>
              <w:spacing w:before="40" w:after="40"/>
            </w:pPr>
            <w:r>
              <w:rPr>
                <w:rFonts w:ascii="Calibri" w:hAnsi="Calibri"/>
                <w:b/>
                <w:i w:val="0"/>
                <w:color w:val="1E293B"/>
                <w:sz w:val="19"/>
              </w:rPr>
              <w:t>QuickBooks Online Sync</w:t>
            </w:r>
          </w:p>
        </w:tc>
        <w:tc>
          <w:tcPr>
            <w:tcW w:type="dxa" w:w="3888"/>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2-way Chart of Accounts &amp; invoice push</w:t>
            </w:r>
          </w:p>
        </w:tc>
        <w:tc>
          <w:tcPr>
            <w:tcW w:type="dxa" w:w="2880"/>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Double-entry bookkeeping between apps</w:t>
            </w:r>
          </w:p>
        </w:tc>
      </w:tr>
      <w:tr>
        <w:tc>
          <w:tcPr>
            <w:tcW w:type="dxa" w:w="3168"/>
            <w:vAlign w:val="center"/>
            <w:tcMar>
              <w:top w:w="100" w:type="dxa"/>
              <w:bottom w:w="100" w:type="dxa"/>
              <w:left w:w="140" w:type="dxa"/>
              <w:right w:w="140" w:type="dxa"/>
            </w:tcMar>
            <w:shd w:fill="FFFFFF"/>
          </w:tcPr>
          <w:p>
            <w:pPr>
              <w:spacing w:before="40" w:after="40"/>
            </w:pPr>
            <w:r>
              <w:rPr>
                <w:rFonts w:ascii="Calibri" w:hAnsi="Calibri"/>
                <w:b/>
                <w:i w:val="0"/>
                <w:color w:val="1E293B"/>
                <w:sz w:val="19"/>
              </w:rPr>
              <w:t>AI Knowledge Base (RAG)</w:t>
            </w:r>
          </w:p>
        </w:tc>
        <w:tc>
          <w:tcPr>
            <w:tcW w:type="dxa" w:w="3888"/>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Instant SOP answers from GPT-4o Mini</w:t>
            </w:r>
          </w:p>
        </w:tc>
        <w:tc>
          <w:tcPr>
            <w:tcW w:type="dxa" w:w="2880"/>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Senior partner interruptions &amp; slow onboarding</w:t>
            </w:r>
          </w:p>
        </w:tc>
      </w:tr>
      <w:tr>
        <w:tc>
          <w:tcPr>
            <w:tcW w:type="dxa" w:w="3168"/>
            <w:vAlign w:val="center"/>
            <w:tcMar>
              <w:top w:w="100" w:type="dxa"/>
              <w:bottom w:w="100" w:type="dxa"/>
              <w:left w:w="140" w:type="dxa"/>
              <w:right w:w="140" w:type="dxa"/>
            </w:tcMar>
            <w:shd w:fill="F8FAFC"/>
          </w:tcPr>
          <w:p>
            <w:pPr>
              <w:spacing w:before="40" w:after="40"/>
            </w:pPr>
            <w:r>
              <w:rPr>
                <w:rFonts w:ascii="Calibri" w:hAnsi="Calibri"/>
                <w:b/>
                <w:i w:val="0"/>
                <w:color w:val="1E293B"/>
                <w:sz w:val="19"/>
              </w:rPr>
              <w:t>MyBooks Bookkeeping</w:t>
            </w:r>
          </w:p>
        </w:tc>
        <w:tc>
          <w:tcPr>
            <w:tcW w:type="dxa" w:w="3888"/>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Year-round bank feeds &amp; financial statements</w:t>
            </w:r>
          </w:p>
        </w:tc>
        <w:tc>
          <w:tcPr>
            <w:tcW w:type="dxa" w:w="2880"/>
            <w:vAlign w:val="center"/>
            <w:tcMar>
              <w:top w:w="100" w:type="dxa"/>
              <w:bottom w:w="100" w:type="dxa"/>
              <w:left w:w="140" w:type="dxa"/>
              <w:right w:w="140" w:type="dxa"/>
            </w:tcMar>
            <w:shd w:fill="F8FAFC"/>
          </w:tcPr>
          <w:p>
            <w:pPr>
              <w:spacing w:before="40" w:after="40"/>
            </w:pPr>
            <w:r>
              <w:rPr>
                <w:rFonts w:ascii="Calibri" w:hAnsi="Calibri"/>
                <w:b w:val="0"/>
                <w:i w:val="0"/>
                <w:color w:val="1E293B"/>
                <w:sz w:val="19"/>
              </w:rPr>
              <w:t>End-of-year bookkeeping scrambles</w:t>
            </w:r>
          </w:p>
        </w:tc>
      </w:tr>
      <w:tr>
        <w:tc>
          <w:tcPr>
            <w:tcW w:type="dxa" w:w="3168"/>
            <w:vAlign w:val="center"/>
            <w:tcMar>
              <w:top w:w="100" w:type="dxa"/>
              <w:bottom w:w="100" w:type="dxa"/>
              <w:left w:w="140" w:type="dxa"/>
              <w:right w:w="140" w:type="dxa"/>
            </w:tcMar>
            <w:shd w:fill="FFFFFF"/>
          </w:tcPr>
          <w:p>
            <w:pPr>
              <w:spacing w:before="40" w:after="40"/>
            </w:pPr>
            <w:r>
              <w:rPr>
                <w:rFonts w:ascii="Calibri" w:hAnsi="Calibri"/>
                <w:b/>
                <w:i w:val="0"/>
                <w:color w:val="1E293B"/>
                <w:sz w:val="19"/>
              </w:rPr>
              <w:t>Security, 2FA &amp; Audit Logs</w:t>
            </w:r>
          </w:p>
        </w:tc>
        <w:tc>
          <w:tcPr>
            <w:tcW w:type="dxa" w:w="3888"/>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Granular RBAC, TOTP, and immutable logs</w:t>
            </w:r>
          </w:p>
        </w:tc>
        <w:tc>
          <w:tcPr>
            <w:tcW w:type="dxa" w:w="2880"/>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Security vulnerabilities &amp; compliance risks</w:t>
            </w:r>
          </w:p>
        </w:tc>
      </w:tr>
      <w:tr>
        <w:tc>
          <w:tcPr>
            <w:tcW w:type="dxa" w:w="3312"/>
          </w:tcPr>
          <w:p>
            <w:r>
              <w:rPr>
                <w:rFonts w:ascii="Calibri" w:hAnsi="Calibri"/>
                <w:sz w:val="20"/>
              </w:rPr>
              <w:t>Inbound Lead Pipeline &amp; AI Proposal Hub</w:t>
            </w:r>
          </w:p>
        </w:tc>
        <w:tc>
          <w:tcPr>
            <w:tcW w:type="dxa" w:w="3312"/>
          </w:tcPr>
          <w:p>
            <w:r>
              <w:rPr>
                <w:rFonts w:ascii="Calibri" w:hAnsi="Calibri"/>
                <w:sz w:val="20"/>
              </w:rPr>
              <w:t>Instant bilingual AI pitch generation &amp; 1-click CRM customer conversion</w:t>
            </w:r>
          </w:p>
        </w:tc>
        <w:tc>
          <w:tcPr>
            <w:tcW w:type="dxa" w:w="3312"/>
          </w:tcPr>
          <w:p>
            <w:r>
              <w:rPr>
                <w:rFonts w:ascii="Calibri" w:hAnsi="Calibri"/>
                <w:sz w:val="20"/>
              </w:rPr>
              <w:t>HubSpot / Pipedrive subscriptions &amp; manual email drafting</w:t>
            </w:r>
          </w:p>
        </w:tc>
      </w:tr>
    </w:tbl>
    <w:p>
      <w:pPr>
        <w:spacing w:before="280"/>
      </w:pPr>
    </w:p>
    <w:p>
      <w:pPr>
        <w:keepNext/>
        <w:spacing w:before="360" w:after="120"/>
      </w:pPr>
      <w:r>
        <w:rPr>
          <w:rFonts w:ascii="Calibri" w:hAnsi="Calibri"/>
          <w:b/>
          <w:i w:val="0"/>
          <w:color w:val="0F172A"/>
          <w:sz w:val="36"/>
        </w:rPr>
        <w:t>6. Enterprise Infrastructure &amp; Technical Architecture</w:t>
      </w:r>
    </w:p>
    <w:tbl>
      <w:tblPr>
        <w:tblW w:type="auto" w:w="0"/>
        <w:jc w:val="center"/>
        <w:tblLayout w:type="fixed"/>
        <w:tblLook w:firstColumn="1" w:firstRow="1" w:lastColumn="0" w:lastRow="0" w:noHBand="0" w:noVBand="1" w:val="04A0"/>
      </w:tblPr>
      <w:tblGrid>
        <w:gridCol w:w="3312"/>
        <w:gridCol w:w="3312"/>
        <w:gridCol w:w="3312"/>
      </w:tblGrid>
      <w:tr>
        <w:tc>
          <w:tcPr>
            <w:tcW w:type="dxa" w:w="3168"/>
            <w:vAlign w:val="center"/>
            <w:tcMar>
              <w:top w:w="100" w:type="dxa"/>
              <w:bottom w:w="100" w:type="dxa"/>
              <w:left w:w="140" w:type="dxa"/>
              <w:right w:w="140" w:type="dxa"/>
            </w:tcMar>
            <w:shd w:fill="0284C7"/>
          </w:tcPr>
          <w:p>
            <w:pPr>
              <w:spacing w:before="40" w:after="40"/>
            </w:pPr>
            <w:r>
              <w:rPr>
                <w:rFonts w:ascii="Calibri" w:hAnsi="Calibri"/>
                <w:b/>
                <w:i w:val="0"/>
                <w:color w:val="FFFFFF"/>
                <w:sz w:val="20"/>
              </w:rPr>
              <w:t>Layer / Component</w:t>
            </w:r>
          </w:p>
        </w:tc>
        <w:tc>
          <w:tcPr>
            <w:tcW w:type="dxa" w:w="3888"/>
            <w:vAlign w:val="center"/>
            <w:tcMar>
              <w:top w:w="100" w:type="dxa"/>
              <w:bottom w:w="100" w:type="dxa"/>
              <w:left w:w="140" w:type="dxa"/>
              <w:right w:w="140" w:type="dxa"/>
            </w:tcMar>
            <w:shd w:fill="0284C7"/>
          </w:tcPr>
          <w:p>
            <w:pPr>
              <w:spacing w:before="40" w:after="40"/>
            </w:pPr>
            <w:r>
              <w:rPr>
                <w:rFonts w:ascii="Calibri" w:hAnsi="Calibri"/>
                <w:b/>
                <w:i w:val="0"/>
                <w:color w:val="FFFFFF"/>
                <w:sz w:val="20"/>
              </w:rPr>
              <w:t>Technology Specification</w:t>
            </w:r>
          </w:p>
        </w:tc>
        <w:tc>
          <w:tcPr>
            <w:tcW w:type="dxa" w:w="2880"/>
            <w:vAlign w:val="center"/>
            <w:tcMar>
              <w:top w:w="100" w:type="dxa"/>
              <w:bottom w:w="100" w:type="dxa"/>
              <w:left w:w="140" w:type="dxa"/>
              <w:right w:w="140" w:type="dxa"/>
            </w:tcMar>
            <w:shd w:fill="0284C7"/>
          </w:tcPr>
          <w:p>
            <w:pPr>
              <w:spacing w:before="40" w:after="40"/>
            </w:pPr>
            <w:r>
              <w:rPr>
                <w:rFonts w:ascii="Calibri" w:hAnsi="Calibri"/>
                <w:b/>
                <w:i w:val="0"/>
                <w:color w:val="FFFFFF"/>
                <w:sz w:val="20"/>
              </w:rPr>
              <w:t>Enterprise Standard</w:t>
            </w:r>
          </w:p>
        </w:tc>
      </w:tr>
      <w:tr>
        <w:tc>
          <w:tcPr>
            <w:tcW w:type="dxa" w:w="3168"/>
            <w:vAlign w:val="center"/>
            <w:tcMar>
              <w:top w:w="100" w:type="dxa"/>
              <w:bottom w:w="100" w:type="dxa"/>
              <w:left w:w="140" w:type="dxa"/>
              <w:right w:w="140" w:type="dxa"/>
            </w:tcMar>
            <w:shd w:fill="F0F9FF"/>
          </w:tcPr>
          <w:p>
            <w:pPr>
              <w:spacing w:before="40" w:after="40"/>
            </w:pPr>
            <w:r>
              <w:rPr>
                <w:rFonts w:ascii="Calibri" w:hAnsi="Calibri"/>
                <w:b/>
                <w:i w:val="0"/>
                <w:color w:val="1E293B"/>
                <w:sz w:val="19"/>
              </w:rPr>
              <w:t>Backend Web Server</w:t>
            </w:r>
          </w:p>
        </w:tc>
        <w:tc>
          <w:tcPr>
            <w:tcW w:type="dxa" w:w="3888"/>
            <w:vAlign w:val="center"/>
            <w:tcMar>
              <w:top w:w="100" w:type="dxa"/>
              <w:bottom w:w="100" w:type="dxa"/>
              <w:left w:w="140" w:type="dxa"/>
              <w:right w:w="140" w:type="dxa"/>
            </w:tcMar>
            <w:shd w:fill="F0F9FF"/>
          </w:tcPr>
          <w:p>
            <w:pPr>
              <w:spacing w:before="40" w:after="40"/>
            </w:pPr>
            <w:r>
              <w:rPr>
                <w:rFonts w:ascii="Calibri" w:hAnsi="Calibri"/>
                <w:b w:val="0"/>
                <w:i w:val="0"/>
                <w:color w:val="1E293B"/>
                <w:sz w:val="19"/>
              </w:rPr>
              <w:t>Python 3.10+, FastAPI, Uvicorn</w:t>
            </w:r>
          </w:p>
        </w:tc>
        <w:tc>
          <w:tcPr>
            <w:tcW w:type="dxa" w:w="2880"/>
            <w:vAlign w:val="center"/>
            <w:tcMar>
              <w:top w:w="100" w:type="dxa"/>
              <w:bottom w:w="100" w:type="dxa"/>
              <w:left w:w="140" w:type="dxa"/>
              <w:right w:w="140" w:type="dxa"/>
            </w:tcMar>
            <w:shd w:fill="F0F9FF"/>
          </w:tcPr>
          <w:p>
            <w:pPr>
              <w:spacing w:before="40" w:after="40"/>
            </w:pPr>
            <w:r>
              <w:rPr>
                <w:rFonts w:ascii="Calibri" w:hAnsi="Calibri"/>
                <w:b w:val="0"/>
                <w:i w:val="0"/>
                <w:color w:val="1E293B"/>
                <w:sz w:val="19"/>
              </w:rPr>
              <w:t>High-concurrency async ASGI</w:t>
            </w:r>
          </w:p>
        </w:tc>
      </w:tr>
      <w:tr>
        <w:tc>
          <w:tcPr>
            <w:tcW w:type="dxa" w:w="3168"/>
            <w:vAlign w:val="center"/>
            <w:tcMar>
              <w:top w:w="100" w:type="dxa"/>
              <w:bottom w:w="100" w:type="dxa"/>
              <w:left w:w="140" w:type="dxa"/>
              <w:right w:w="140" w:type="dxa"/>
            </w:tcMar>
            <w:shd w:fill="FFFFFF"/>
          </w:tcPr>
          <w:p>
            <w:pPr>
              <w:spacing w:before="40" w:after="40"/>
            </w:pPr>
            <w:r>
              <w:rPr>
                <w:rFonts w:ascii="Calibri" w:hAnsi="Calibri"/>
                <w:b/>
                <w:i w:val="0"/>
                <w:color w:val="1E293B"/>
                <w:sz w:val="19"/>
              </w:rPr>
              <w:t>Primary Database</w:t>
            </w:r>
          </w:p>
        </w:tc>
        <w:tc>
          <w:tcPr>
            <w:tcW w:type="dxa" w:w="3888"/>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DigitalOcean Managed PostgreSQL (VRT DB)</w:t>
            </w:r>
          </w:p>
        </w:tc>
        <w:tc>
          <w:tcPr>
            <w:tcW w:type="dxa" w:w="2880"/>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Automated daily backups &amp; connection pooling</w:t>
            </w:r>
          </w:p>
        </w:tc>
      </w:tr>
      <w:tr>
        <w:tc>
          <w:tcPr>
            <w:tcW w:type="dxa" w:w="3168"/>
            <w:vAlign w:val="center"/>
            <w:tcMar>
              <w:top w:w="100" w:type="dxa"/>
              <w:bottom w:w="100" w:type="dxa"/>
              <w:left w:w="140" w:type="dxa"/>
              <w:right w:w="140" w:type="dxa"/>
            </w:tcMar>
            <w:shd w:fill="F0F9FF"/>
          </w:tcPr>
          <w:p>
            <w:pPr>
              <w:spacing w:before="40" w:after="40"/>
            </w:pPr>
            <w:r>
              <w:rPr>
                <w:rFonts w:ascii="Calibri" w:hAnsi="Calibri"/>
                <w:b/>
                <w:i w:val="0"/>
                <w:color w:val="1E293B"/>
                <w:sz w:val="19"/>
              </w:rPr>
              <w:t>Cloud Object Storage</w:t>
            </w:r>
          </w:p>
        </w:tc>
        <w:tc>
          <w:tcPr>
            <w:tcW w:type="dxa" w:w="3888"/>
            <w:vAlign w:val="center"/>
            <w:tcMar>
              <w:top w:w="100" w:type="dxa"/>
              <w:bottom w:w="100" w:type="dxa"/>
              <w:left w:w="140" w:type="dxa"/>
              <w:right w:w="140" w:type="dxa"/>
            </w:tcMar>
            <w:shd w:fill="F0F9FF"/>
          </w:tcPr>
          <w:p>
            <w:pPr>
              <w:spacing w:before="40" w:after="40"/>
            </w:pPr>
            <w:r>
              <w:rPr>
                <w:rFonts w:ascii="Calibri" w:hAnsi="Calibri"/>
                <w:b w:val="0"/>
                <w:i w:val="0"/>
                <w:color w:val="1E293B"/>
                <w:sz w:val="19"/>
              </w:rPr>
              <w:t>DigitalOcean Spaces (S3-compatible API)</w:t>
            </w:r>
          </w:p>
        </w:tc>
        <w:tc>
          <w:tcPr>
            <w:tcW w:type="dxa" w:w="2880"/>
            <w:vAlign w:val="center"/>
            <w:tcMar>
              <w:top w:w="100" w:type="dxa"/>
              <w:bottom w:w="100" w:type="dxa"/>
              <w:left w:w="140" w:type="dxa"/>
              <w:right w:w="140" w:type="dxa"/>
            </w:tcMar>
            <w:shd w:fill="F0F9FF"/>
          </w:tcPr>
          <w:p>
            <w:pPr>
              <w:spacing w:before="40" w:after="40"/>
            </w:pPr>
            <w:r>
              <w:rPr>
                <w:rFonts w:ascii="Calibri" w:hAnsi="Calibri"/>
                <w:b w:val="0"/>
                <w:i w:val="0"/>
                <w:color w:val="1E293B"/>
                <w:sz w:val="19"/>
              </w:rPr>
              <w:t>AES-256 encrypted multi-region storage</w:t>
            </w:r>
          </w:p>
        </w:tc>
      </w:tr>
      <w:tr>
        <w:tc>
          <w:tcPr>
            <w:tcW w:type="dxa" w:w="3168"/>
            <w:vAlign w:val="center"/>
            <w:tcMar>
              <w:top w:w="100" w:type="dxa"/>
              <w:bottom w:w="100" w:type="dxa"/>
              <w:left w:w="140" w:type="dxa"/>
              <w:right w:w="140" w:type="dxa"/>
            </w:tcMar>
            <w:shd w:fill="FFFFFF"/>
          </w:tcPr>
          <w:p>
            <w:pPr>
              <w:spacing w:before="40" w:after="40"/>
            </w:pPr>
            <w:r>
              <w:rPr>
                <w:rFonts w:ascii="Calibri" w:hAnsi="Calibri"/>
                <w:b/>
                <w:i w:val="0"/>
                <w:color w:val="1E293B"/>
                <w:sz w:val="19"/>
              </w:rPr>
              <w:t>E-Signature Infrastructure</w:t>
            </w:r>
          </w:p>
        </w:tc>
        <w:tc>
          <w:tcPr>
            <w:tcW w:type="dxa" w:w="3888"/>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Self-Hosted DocuSeal (esign.vrtservices12.com)</w:t>
            </w:r>
          </w:p>
        </w:tc>
        <w:tc>
          <w:tcPr>
            <w:tcW w:type="dxa" w:w="2880"/>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IRS § 7216 compliant with SHA256 certificates</w:t>
            </w:r>
          </w:p>
        </w:tc>
      </w:tr>
      <w:tr>
        <w:tc>
          <w:tcPr>
            <w:tcW w:type="dxa" w:w="3168"/>
            <w:vAlign w:val="center"/>
            <w:tcMar>
              <w:top w:w="100" w:type="dxa"/>
              <w:bottom w:w="100" w:type="dxa"/>
              <w:left w:w="140" w:type="dxa"/>
              <w:right w:w="140" w:type="dxa"/>
            </w:tcMar>
            <w:shd w:fill="F0F9FF"/>
          </w:tcPr>
          <w:p>
            <w:pPr>
              <w:spacing w:before="40" w:after="40"/>
            </w:pPr>
            <w:r>
              <w:rPr>
                <w:rFonts w:ascii="Calibri" w:hAnsi="Calibri"/>
                <w:b/>
                <w:i w:val="0"/>
                <w:color w:val="1E293B"/>
                <w:sz w:val="19"/>
              </w:rPr>
              <w:t>Email Delivery Pipeline</w:t>
            </w:r>
          </w:p>
        </w:tc>
        <w:tc>
          <w:tcPr>
            <w:tcW w:type="dxa" w:w="3888"/>
            <w:vAlign w:val="center"/>
            <w:tcMar>
              <w:top w:w="100" w:type="dxa"/>
              <w:bottom w:w="100" w:type="dxa"/>
              <w:left w:w="140" w:type="dxa"/>
              <w:right w:w="140" w:type="dxa"/>
            </w:tcMar>
            <w:shd w:fill="F0F9FF"/>
          </w:tcPr>
          <w:p>
            <w:pPr>
              <w:spacing w:before="40" w:after="40"/>
            </w:pPr>
            <w:r>
              <w:rPr>
                <w:rFonts w:ascii="Calibri" w:hAnsi="Calibri"/>
                <w:b w:val="0"/>
                <w:i w:val="0"/>
                <w:color w:val="1E293B"/>
                <w:sz w:val="19"/>
              </w:rPr>
              <w:t>Resend API (notification@vrtservices12.com)</w:t>
            </w:r>
          </w:p>
        </w:tc>
        <w:tc>
          <w:tcPr>
            <w:tcW w:type="dxa" w:w="2880"/>
            <w:vAlign w:val="center"/>
            <w:tcMar>
              <w:top w:w="100" w:type="dxa"/>
              <w:bottom w:w="100" w:type="dxa"/>
              <w:left w:w="140" w:type="dxa"/>
              <w:right w:w="140" w:type="dxa"/>
            </w:tcMar>
            <w:shd w:fill="F0F9FF"/>
          </w:tcPr>
          <w:p>
            <w:pPr>
              <w:spacing w:before="40" w:after="40"/>
            </w:pPr>
            <w:r>
              <w:rPr>
                <w:rFonts w:ascii="Calibri" w:hAnsi="Calibri"/>
                <w:b w:val="0"/>
                <w:i w:val="0"/>
                <w:color w:val="1E293B"/>
                <w:sz w:val="19"/>
              </w:rPr>
              <w:t>Custom DKIM, SPF, DMARC with webhook ingestion</w:t>
            </w:r>
          </w:p>
        </w:tc>
      </w:tr>
      <w:tr>
        <w:tc>
          <w:tcPr>
            <w:tcW w:type="dxa" w:w="3168"/>
            <w:vAlign w:val="center"/>
            <w:tcMar>
              <w:top w:w="100" w:type="dxa"/>
              <w:bottom w:w="100" w:type="dxa"/>
              <w:left w:w="140" w:type="dxa"/>
              <w:right w:w="140" w:type="dxa"/>
            </w:tcMar>
            <w:shd w:fill="FFFFFF"/>
          </w:tcPr>
          <w:p>
            <w:pPr>
              <w:spacing w:before="40" w:after="40"/>
            </w:pPr>
            <w:r>
              <w:rPr>
                <w:rFonts w:ascii="Calibri" w:hAnsi="Calibri"/>
                <w:b/>
                <w:i w:val="0"/>
                <w:color w:val="1E293B"/>
                <w:sz w:val="19"/>
              </w:rPr>
              <w:t>Accounting Integration</w:t>
            </w:r>
          </w:p>
        </w:tc>
        <w:tc>
          <w:tcPr>
            <w:tcW w:type="dxa" w:w="3888"/>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Intuit QuickBooks Online OAuth2 API</w:t>
            </w:r>
          </w:p>
        </w:tc>
        <w:tc>
          <w:tcPr>
            <w:tcW w:type="dxa" w:w="2880"/>
            <w:vAlign w:val="center"/>
            <w:tcMar>
              <w:top w:w="100" w:type="dxa"/>
              <w:bottom w:w="100" w:type="dxa"/>
              <w:left w:w="140" w:type="dxa"/>
              <w:right w:w="140" w:type="dxa"/>
            </w:tcMar>
            <w:shd w:fill="FFFFFF"/>
          </w:tcPr>
          <w:p>
            <w:pPr>
              <w:spacing w:before="40" w:after="40"/>
            </w:pPr>
            <w:r>
              <w:rPr>
                <w:rFonts w:ascii="Calibri" w:hAnsi="Calibri"/>
                <w:b w:val="0"/>
                <w:i w:val="0"/>
                <w:color w:val="1E293B"/>
                <w:sz w:val="19"/>
              </w:rPr>
              <w:t>Bi-directional COA &amp; invoice synchronization</w:t>
            </w:r>
          </w:p>
        </w:tc>
      </w:tr>
      <w:tr>
        <w:tc>
          <w:tcPr>
            <w:tcW w:type="dxa" w:w="3168"/>
            <w:vAlign w:val="center"/>
            <w:tcMar>
              <w:top w:w="100" w:type="dxa"/>
              <w:bottom w:w="100" w:type="dxa"/>
              <w:left w:w="140" w:type="dxa"/>
              <w:right w:w="140" w:type="dxa"/>
            </w:tcMar>
            <w:shd w:fill="F0F9FF"/>
          </w:tcPr>
          <w:p>
            <w:pPr>
              <w:spacing w:before="40" w:after="40"/>
            </w:pPr>
            <w:r>
              <w:rPr>
                <w:rFonts w:ascii="Calibri" w:hAnsi="Calibri"/>
                <w:b/>
                <w:i w:val="0"/>
                <w:color w:val="1E293B"/>
                <w:sz w:val="19"/>
              </w:rPr>
              <w:t>AI Vector Search Engine</w:t>
            </w:r>
          </w:p>
        </w:tc>
        <w:tc>
          <w:tcPr>
            <w:tcW w:type="dxa" w:w="3888"/>
            <w:vAlign w:val="center"/>
            <w:tcMar>
              <w:top w:w="100" w:type="dxa"/>
              <w:bottom w:w="100" w:type="dxa"/>
              <w:left w:w="140" w:type="dxa"/>
              <w:right w:w="140" w:type="dxa"/>
            </w:tcMar>
            <w:shd w:fill="F0F9FF"/>
          </w:tcPr>
          <w:p>
            <w:pPr>
              <w:spacing w:before="40" w:after="40"/>
            </w:pPr>
            <w:r>
              <w:rPr>
                <w:rFonts w:ascii="Calibri" w:hAnsi="Calibri"/>
                <w:b w:val="0"/>
                <w:i w:val="0"/>
                <w:color w:val="1E293B"/>
                <w:sz w:val="19"/>
              </w:rPr>
              <w:t>GPT-4o Mini with active learning loop</w:t>
            </w:r>
          </w:p>
        </w:tc>
        <w:tc>
          <w:tcPr>
            <w:tcW w:type="dxa" w:w="2880"/>
            <w:vAlign w:val="center"/>
            <w:tcMar>
              <w:top w:w="100" w:type="dxa"/>
              <w:bottom w:w="100" w:type="dxa"/>
              <w:left w:w="140" w:type="dxa"/>
              <w:right w:w="140" w:type="dxa"/>
            </w:tcMar>
            <w:shd w:fill="F0F9FF"/>
          </w:tcPr>
          <w:p>
            <w:pPr>
              <w:spacing w:before="40" w:after="40"/>
            </w:pPr>
            <w:r>
              <w:rPr>
                <w:rFonts w:ascii="Calibri" w:hAnsi="Calibri"/>
                <w:b w:val="0"/>
                <w:i w:val="0"/>
                <w:color w:val="1E293B"/>
                <w:sz w:val="19"/>
              </w:rPr>
              <w:t>Strict firm-document bounded RAG retrieval</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94A3B8"/>
        <w:sz w:val="17"/>
      </w:rPr>
      <w:t>Confidential — For Internal &amp; Partner Presentation Purposes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94A3B8"/>
        <w:sz w:val="17"/>
      </w:rPr>
      <w:t>VRT Services — Enterprise Platform Sales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