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rial" w:hAnsi="Arial" w:eastAsia="Microsoft YaHei"/>
          <w:b/>
          <w:i w:val="0"/>
          <w:color w:val="17365D"/>
          <w:sz w:val="34"/>
        </w:rPr>
        <w:t>4.1 边界与口径冻结表</w:t>
      </w:r>
    </w:p>
    <w:p>
      <w:pPr>
        <w:pStyle w:val="Subtitle"/>
        <w:keepNext/>
      </w:pPr>
      <w:r>
        <w:rPr>
          <w:rFonts w:ascii="Arial" w:hAnsi="Arial" w:eastAsia="Microsoft YaHei"/>
          <w:b w:val="0"/>
          <w:i w:val="0"/>
          <w:color w:val="5B6573"/>
          <w:sz w:val="17"/>
        </w:rPr>
        <w:t>《蓝海枢纽》第四章公共模型合同｜适用范围：4.3—4.9｜状态：条件冻结，待项目组签认</w:t>
      </w:r>
    </w:p>
    <w:tbl>
      <w:tblPr>
        <w:tblW w:type="dxa" w:w="15420"/>
        <w:jc w:val="left"/>
        <w:tblLayout w:type="fixed"/>
        <w:tblLook w:firstColumn="1" w:firstRow="1" w:lastColumn="0" w:lastRow="0" w:noHBand="0" w:noVBand="1" w:val="04A0"/>
        <w:tblInd w:w="80" w:type="dxa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AAB7C4"/>
          <w:insideV w:val="single" w:sz="4" w:color="AAB7C4"/>
        </w:tblBorders>
      </w:tblPr>
      <w:tblGrid>
        <w:gridCol w:w="15420"/>
      </w:tblGrid>
      <w:tr>
        <w:tc>
          <w:tcPr>
            <w:tcW w:type="dxa" w:w="15420"/>
            <w:shd w:fill="EDF4FA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/>
                <w:i w:val="0"/>
                <w:color w:val="17365D"/>
                <w:sz w:val="15"/>
              </w:rPr>
              <w:t>冻结原则：本表只规定跨模块公共边界、测点、单位和归属，不替代设备公式或企业参数；未确认工程数值统一标注为［假设值，待企业调研校准］。P0项未关闭前，所有算例只能称为“条件冻结基线”。</w:t>
            </w:r>
          </w:p>
        </w:tc>
      </w:tr>
    </w:tbl>
    <w:p>
      <w:pPr>
        <w:spacing w:after="0"/>
      </w:pPr>
    </w:p>
    <w:tbl>
      <w:tblPr>
        <w:tblStyle w:val="TableGrid"/>
        <w:tblW w:type="dxa" w:w="15420"/>
        <w:tblLayout w:type="fixed"/>
        <w:tblLook w:firstColumn="1" w:firstRow="1" w:lastColumn="0" w:lastRow="0" w:noHBand="0" w:noVBand="1" w:val="04A0"/>
        <w:jc w:val="left"/>
        <w:tblInd w:w="80" w:type="dxa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AAB7C4"/>
          <w:insideV w:val="single" w:sz="4" w:color="AAB7C4"/>
        </w:tblBorders>
      </w:tblPr>
      <w:tblGrid>
        <w:gridCol w:w="610"/>
        <w:gridCol w:w="1550"/>
        <w:gridCol w:w="7050"/>
        <w:gridCol w:w="1450"/>
        <w:gridCol w:w="2660"/>
        <w:gridCol w:w="2100"/>
      </w:tblGrid>
      <w:tr>
        <w:tc>
          <w:tcPr>
            <w:tcW w:type="dxa" w:w="610"/>
            <w:shd w:fill="17365D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550"/>
            <w:shd w:fill="17365D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5"/>
              </w:rPr>
              <w:t>冻结项</w:t>
            </w:r>
          </w:p>
        </w:tc>
        <w:tc>
          <w:tcPr>
            <w:tcW w:type="dxa" w:w="7050"/>
            <w:shd w:fill="17365D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5"/>
              </w:rPr>
              <w:t>统一口径（V1.0）</w:t>
            </w:r>
          </w:p>
        </w:tc>
        <w:tc>
          <w:tcPr>
            <w:tcW w:type="dxa" w:w="1450"/>
            <w:shd w:fill="17365D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5"/>
              </w:rPr>
              <w:t>当前状态</w:t>
            </w:r>
          </w:p>
        </w:tc>
        <w:tc>
          <w:tcPr>
            <w:tcW w:type="dxa" w:w="2660"/>
            <w:shd w:fill="17365D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5"/>
              </w:rPr>
              <w:t>责任／证据</w:t>
            </w:r>
          </w:p>
        </w:tc>
        <w:tc>
          <w:tcPr>
            <w:tcW w:type="dxa" w:w="2100"/>
            <w:shd w:fill="17365D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5"/>
              </w:rPr>
              <w:t>变更规则</w:t>
            </w:r>
          </w:p>
        </w:tc>
      </w:tr>
      <w:tr>
        <w:tc>
          <w:tcPr>
            <w:tcW w:type="dxa" w:w="61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22222"/>
                <w:sz w:val="14"/>
              </w:rPr>
              <w:t>B01</w:t>
            </w:r>
          </w:p>
        </w:tc>
        <w:tc>
          <w:tcPr>
            <w:tcW w:type="dxa" w:w="15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22222"/>
                <w:sz w:val="14"/>
              </w:rPr>
              <w:t>系统空间边界</w:t>
            </w:r>
          </w:p>
        </w:tc>
        <w:tc>
          <w:tcPr>
            <w:tcW w:type="dxa" w:w="7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纳入风／光／潮源侧、公共母线、构网型电池、制氢—储氢、海底算力、海缆外送及海洋用能；系统边界止于陆上受端、氢／氨交付点、算力服务交付点。</w:t>
            </w:r>
          </w:p>
        </w:tc>
        <w:tc>
          <w:tcPr>
            <w:tcW w:type="dxa" w:w="14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E2F0D9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已冻结</w:t>
            </w:r>
          </w:p>
        </w:tc>
        <w:tc>
          <w:tcPr>
            <w:tcW w:type="dxa" w:w="26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总体架构＋单线图；项目公司／设计院</w:t>
            </w:r>
          </w:p>
        </w:tc>
        <w:tc>
          <w:tcPr>
            <w:tcW w:type="dxa" w:w="21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仅经总体架构评审升级版本。</w:t>
            </w:r>
          </w:p>
        </w:tc>
      </w:tr>
      <w:tr>
        <w:tc>
          <w:tcPr>
            <w:tcW w:type="dxa" w:w="61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22222"/>
                <w:sz w:val="14"/>
              </w:rPr>
              <w:t>B02</w:t>
            </w:r>
          </w:p>
        </w:tc>
        <w:tc>
          <w:tcPr>
            <w:tcW w:type="dxa" w:w="15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22222"/>
                <w:sz w:val="14"/>
              </w:rPr>
              <w:t>公共原型场景</w:t>
            </w:r>
          </w:p>
        </w:tc>
        <w:tc>
          <w:tcPr>
            <w:tcW w:type="dxa" w:w="7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4.3—4.9必须共用一套容量与拓扑参数表。现阶段先冻结字段，不冻结风光潮、电池、电解槽、储氢、算力和海缆具体容量；现有不同示例规模不得直接横向比较。</w:t>
            </w:r>
          </w:p>
        </w:tc>
        <w:tc>
          <w:tcPr>
            <w:tcW w:type="dxa" w:w="14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CE4D6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P0待决策</w:t>
            </w:r>
          </w:p>
        </w:tc>
        <w:tc>
          <w:tcPr>
            <w:tcW w:type="dxa" w:w="26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模块负责人＋项目公司；统一参数清单</w:t>
            </w:r>
          </w:p>
        </w:tc>
        <w:tc>
          <w:tcPr>
            <w:tcW w:type="dxa" w:w="21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选定主算例后同步更新全部示例。</w:t>
            </w:r>
          </w:p>
        </w:tc>
      </w:tr>
      <w:tr>
        <w:tc>
          <w:tcPr>
            <w:tcW w:type="dxa" w:w="61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22222"/>
                <w:sz w:val="14"/>
              </w:rPr>
              <w:t>B03</w:t>
            </w:r>
          </w:p>
        </w:tc>
        <w:tc>
          <w:tcPr>
            <w:tcW w:type="dxa" w:w="15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22222"/>
                <w:sz w:val="14"/>
              </w:rPr>
              <w:t>测点与正方向</w:t>
            </w:r>
          </w:p>
        </w:tc>
        <w:tc>
          <w:tcPr>
            <w:tcW w:type="dxa" w:w="7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4.3输出测点统一为源侧汇集点MP-03；4.4公共母线为功率守恒点。发电、储能放电为正注入；负荷、外送、储能充电为正消耗。requested→accepted→actual链路全章一致。</w:t>
            </w:r>
          </w:p>
        </w:tc>
        <w:tc>
          <w:tcPr>
            <w:tcW w:type="dxa" w:w="14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2CC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条件冻结</w:t>
            </w:r>
          </w:p>
        </w:tc>
        <w:tc>
          <w:tcPr>
            <w:tcW w:type="dxa" w:w="26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单线图＋计量点表；模型总控</w:t>
            </w:r>
          </w:p>
        </w:tc>
        <w:tc>
          <w:tcPr>
            <w:tcW w:type="dxa" w:w="21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新增测点须补变量字典与适配器。</w:t>
            </w:r>
          </w:p>
        </w:tc>
      </w:tr>
      <w:tr>
        <w:tc>
          <w:tcPr>
            <w:tcW w:type="dxa" w:w="61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22222"/>
                <w:sz w:val="14"/>
              </w:rPr>
              <w:t>B04</w:t>
            </w:r>
          </w:p>
        </w:tc>
        <w:tc>
          <w:tcPr>
            <w:tcW w:type="dxa" w:w="15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22222"/>
                <w:sz w:val="14"/>
              </w:rPr>
              <w:t>损耗与辅机归属</w:t>
            </w:r>
          </w:p>
        </w:tc>
        <w:tc>
          <w:tcPr>
            <w:tcW w:type="dxa" w:w="7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4.3仅计设备端至MP-03集电损耗，源侧辅机独立输出；4.4计公共母线后公共变换／网络损耗；4.5计电池、电解与储氢内部效率及BOP；4.6计IT→设施用电；4.7计海缆与物流损耗。禁止重复扣除。</w:t>
            </w:r>
          </w:p>
        </w:tc>
        <w:tc>
          <w:tcPr>
            <w:tcW w:type="dxa" w:w="14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2CC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条件冻结</w:t>
            </w:r>
          </w:p>
        </w:tc>
        <w:tc>
          <w:tcPr>
            <w:tcW w:type="dxa" w:w="26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各模块损耗账本；EPC／电气专业</w:t>
            </w:r>
          </w:p>
        </w:tc>
        <w:tc>
          <w:tcPr>
            <w:tcW w:type="dxa" w:w="21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任何效率定义须标明上下游测点。</w:t>
            </w:r>
          </w:p>
        </w:tc>
      </w:tr>
      <w:tr>
        <w:tc>
          <w:tcPr>
            <w:tcW w:type="dxa" w:w="61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22222"/>
                <w:sz w:val="14"/>
              </w:rPr>
              <w:t>B05</w:t>
            </w:r>
          </w:p>
        </w:tc>
        <w:tc>
          <w:tcPr>
            <w:tcW w:type="dxa" w:w="15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22222"/>
                <w:sz w:val="14"/>
              </w:rPr>
              <w:t>时间尺度与同步</w:t>
            </w:r>
          </w:p>
        </w:tc>
        <w:tc>
          <w:tcPr>
            <w:tcW w:type="dxa" w:w="7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规划层按年度／全寿命；主运营层按1 h并支持168 h／8760 h；日内校核按5／15 min；构网动态按秒级及以下。能量序列可聚合，状态事件不得线性插值。</w:t>
            </w:r>
          </w:p>
        </w:tc>
        <w:tc>
          <w:tcPr>
            <w:tcW w:type="dxa" w:w="14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2CC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待项目确认</w:t>
            </w:r>
          </w:p>
        </w:tc>
        <w:tc>
          <w:tcPr>
            <w:tcW w:type="dxa" w:w="26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EMS／调度数据；技术总监</w:t>
            </w:r>
          </w:p>
        </w:tc>
        <w:tc>
          <w:tcPr>
            <w:tcW w:type="dxa" w:w="21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步长变化须重做能量守恒与状态校核。</w:t>
            </w:r>
          </w:p>
        </w:tc>
      </w:tr>
      <w:tr>
        <w:tc>
          <w:tcPr>
            <w:tcW w:type="dxa" w:w="61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22222"/>
                <w:sz w:val="14"/>
              </w:rPr>
              <w:t>B06</w:t>
            </w:r>
          </w:p>
        </w:tc>
        <w:tc>
          <w:tcPr>
            <w:tcW w:type="dxa" w:w="15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22222"/>
                <w:sz w:val="14"/>
              </w:rPr>
              <w:t>基准与对比口径</w:t>
            </w:r>
          </w:p>
        </w:tc>
        <w:tc>
          <w:tcPr>
            <w:tcW w:type="dxa" w:w="7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“单一外送”与“源储算用协同”必须同场址、同源侧容量、同资源时序、同投运年和可用率；海缆既有／新建、弃电及备用约束必须同口径。</w:t>
            </w:r>
          </w:p>
        </w:tc>
        <w:tc>
          <w:tcPr>
            <w:tcW w:type="dxa" w:w="14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CE4D6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P0待决策</w:t>
            </w:r>
          </w:p>
        </w:tc>
        <w:tc>
          <w:tcPr>
            <w:tcW w:type="dxa" w:w="26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项目公司＋财务＋调度；基准场景说明</w:t>
            </w:r>
          </w:p>
        </w:tc>
        <w:tc>
          <w:tcPr>
            <w:tcW w:type="dxa" w:w="21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基准变化须重算全部四类评价指标。</w:t>
            </w:r>
          </w:p>
        </w:tc>
      </w:tr>
      <w:tr>
        <w:tc>
          <w:tcPr>
            <w:tcW w:type="dxa" w:w="61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22222"/>
                <w:sz w:val="14"/>
              </w:rPr>
              <w:t>B07</w:t>
            </w:r>
          </w:p>
        </w:tc>
        <w:tc>
          <w:tcPr>
            <w:tcW w:type="dxa" w:w="15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22222"/>
                <w:sz w:val="14"/>
              </w:rPr>
              <w:t>单位、符号与索引</w:t>
            </w:r>
          </w:p>
        </w:tc>
        <w:tc>
          <w:tcPr>
            <w:tcW w:type="dxa" w:w="7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优化层统一MW、MWh、h、kg、kg/h、元/MWh、元/kg、kgCO₂e；设备接口可用W／var／s，但由适配器转换。场景索引用ω，避免与设备／时段索引冲突；动态层采用SI或标幺并明确基值。</w:t>
            </w:r>
          </w:p>
        </w:tc>
        <w:tc>
          <w:tcPr>
            <w:tcW w:type="dxa" w:w="14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E2F0D9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已冻结</w:t>
            </w:r>
          </w:p>
        </w:tc>
        <w:tc>
          <w:tcPr>
            <w:tcW w:type="dxa" w:w="26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4.2变量字典；模型总控</w:t>
            </w:r>
          </w:p>
        </w:tc>
        <w:tc>
          <w:tcPr>
            <w:tcW w:type="dxa" w:w="21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禁止模块内私自改单位或复用符号。</w:t>
            </w:r>
          </w:p>
        </w:tc>
      </w:tr>
      <w:tr>
        <w:tc>
          <w:tcPr>
            <w:tcW w:type="dxa" w:w="61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22222"/>
                <w:sz w:val="14"/>
              </w:rPr>
              <w:t>B08</w:t>
            </w:r>
          </w:p>
        </w:tc>
        <w:tc>
          <w:tcPr>
            <w:tcW w:type="dxa" w:w="15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22222"/>
                <w:sz w:val="14"/>
              </w:rPr>
              <w:t>初末状态与可行性</w:t>
            </w:r>
          </w:p>
        </w:tc>
        <w:tc>
          <w:tcPr>
            <w:tcW w:type="dxa" w:w="7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SOC、储氢量、算力队列须给定初值及终值／循环条件；限发、停机、故障、未供能等采用显式状态或松弛惩罚。是否允许外购电／外购氢作为应急边界需项目决策。</w:t>
            </w:r>
          </w:p>
        </w:tc>
        <w:tc>
          <w:tcPr>
            <w:tcW w:type="dxa" w:w="14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CE4D6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P0部分待决策</w:t>
            </w:r>
          </w:p>
        </w:tc>
        <w:tc>
          <w:tcPr>
            <w:tcW w:type="dxa" w:w="26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4.5／4.6／4.9；调度规则与合同</w:t>
            </w:r>
          </w:p>
        </w:tc>
        <w:tc>
          <w:tcPr>
            <w:tcW w:type="dxa" w:w="21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可行性松弛必须单独统计，不得掩盖。</w:t>
            </w:r>
          </w:p>
        </w:tc>
      </w:tr>
      <w:tr>
        <w:tc>
          <w:tcPr>
            <w:tcW w:type="dxa" w:w="61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22222"/>
                <w:sz w:val="14"/>
              </w:rPr>
              <w:t>B09</w:t>
            </w:r>
          </w:p>
        </w:tc>
        <w:tc>
          <w:tcPr>
            <w:tcW w:type="dxa" w:w="15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22222"/>
                <w:sz w:val="14"/>
              </w:rPr>
              <w:t>经济与LCA边界</w:t>
            </w:r>
          </w:p>
        </w:tc>
        <w:tc>
          <w:tcPr>
            <w:tcW w:type="dxa" w:w="7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统一币值年、含税／不含税、建设期、寿命、折现率、共用资产分摊和退役口径；电、氢／氨、算力分别定义功能单位、分配方法和替代基准。具体数值均待财务及企业数据校准。</w:t>
            </w:r>
          </w:p>
        </w:tc>
        <w:tc>
          <w:tcPr>
            <w:tcW w:type="dxa" w:w="14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CE4D6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P0待决策</w:t>
            </w:r>
          </w:p>
        </w:tc>
        <w:tc>
          <w:tcPr>
            <w:tcW w:type="dxa" w:w="26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财务模型＋LCA清单；财务／环保专业</w:t>
            </w:r>
          </w:p>
        </w:tc>
        <w:tc>
          <w:tcPr>
            <w:tcW w:type="dxa" w:w="21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边界或功能单位变更须重算NPV／IRR／碳足迹。</w:t>
            </w:r>
          </w:p>
        </w:tc>
      </w:tr>
      <w:tr>
        <w:tc>
          <w:tcPr>
            <w:tcW w:type="dxa" w:w="61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22222"/>
                <w:sz w:val="14"/>
              </w:rPr>
              <w:t>B10</w:t>
            </w:r>
          </w:p>
        </w:tc>
        <w:tc>
          <w:tcPr>
            <w:tcW w:type="dxa" w:w="15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22222"/>
                <w:sz w:val="14"/>
              </w:rPr>
              <w:t>模型分层与排除项</w:t>
            </w:r>
          </w:p>
        </w:tc>
        <w:tc>
          <w:tcPr>
            <w:tcW w:type="dxa" w:w="7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联合优化采用可验证代理／查表模型；EMT构网、电化学细节、六自由度水动力和船舶路径等在离线高保真模型校核，结果以收紧边界或代理参数回灌，不在MILP中重复建模。</w:t>
            </w:r>
          </w:p>
        </w:tc>
        <w:tc>
          <w:tcPr>
            <w:tcW w:type="dxa" w:w="14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2CC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建议冻结</w:t>
            </w:r>
          </w:p>
        </w:tc>
        <w:tc>
          <w:tcPr>
            <w:tcW w:type="dxa" w:w="26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4.4动态模型＋各专业高保真模型</w:t>
            </w:r>
          </w:p>
        </w:tc>
        <w:tc>
          <w:tcPr>
            <w:tcW w:type="dxa" w:w="21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7F9FB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222222"/>
                <w:sz w:val="14"/>
              </w:rPr>
              <w:t>代理误差超阈值时重新辨识［阈值待校准］。</w:t>
            </w:r>
          </w:p>
        </w:tc>
      </w:tr>
    </w:tbl>
    <w:p>
      <w:pPr>
        <w:keepLines/>
        <w:spacing w:before="40" w:after="0"/>
      </w:pPr>
      <w:r>
        <w:rPr>
          <w:rFonts w:ascii="Arial" w:hAnsi="Arial" w:eastAsia="Microsoft YaHei"/>
          <w:b/>
          <w:i w:val="0"/>
          <w:color w:val="17365D"/>
          <w:sz w:val="14"/>
        </w:rPr>
        <w:t>生效与签认：</w:t>
      </w:r>
      <w:r>
        <w:rPr>
          <w:rFonts w:ascii="Arial" w:hAnsi="Arial" w:eastAsia="Microsoft YaHei"/>
          <w:b w:val="0"/>
          <w:i w:val="0"/>
          <w:color w:val="222222"/>
          <w:sz w:val="14"/>
        </w:rPr>
        <w:t>P0项关闭后转为“正式冻结”；任何边界变更须同步更新4.2变量字典、4.3—4.9接口、公共基线算例及证据矩阵。  项目负责人：________  模型总控：________  财务／LCA：________  日期：________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482" w:right="482" w:bottom="425" w:left="482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 w:eastAsia="Microsoft YaHei"/>
        <w:b w:val="0"/>
        <w:i w:val="0"/>
        <w:color w:val="5B6573"/>
        <w:sz w:val="14"/>
      </w:rPr>
      <w:t>V1.0｜2026-07-19｜第 1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Microsoft YaHei"/>
        <w:b/>
        <w:i w:val="0"/>
        <w:color w:val="5B6573"/>
        <w:sz w:val="14"/>
      </w:rPr>
      <w:t>蓝海枢纽｜第四章公共模型合同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Microsoft YaHei" w:hAnsi="Microsoft YaHei" w:eastAsia="Microsoft Ya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6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B6573"/>
      <w:spacing w:val="15"/>
      <w:sz w:val="1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蓝海枢纽 4.1边界与口径冻结表</dc:title>
  <dc:subject>第四章公共模型合同</dc:subject>
  <dc:creator>蓝海枢纽项目组</dc:creator>
  <cp:keywords>边界冻结,口径冻结,源储算用,公共模型合同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