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Care Plan Terms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Exhibit A to the Master Services Agreement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BlockText"/>
      </w:pPr>
      <w:r>
        <w:t xml:space="preserve">Template, not legal advice. Review with an attorney before use.</w:t>
      </w:r>
    </w:p>
    <w:bookmarkStart w:id="20" w:name="Xb2045e3abfaef6d5708386e6977f3316015180f"/>
    <w:p>
      <w:pPr>
        <w:pStyle w:val="Heading2"/>
      </w:pPr>
      <w:r>
        <w:t xml:space="preserve">1. What the Care Plan is</w:t>
      </w:r>
    </w:p>
    <w:p>
      <w:pPr>
        <w:pStyle w:val="FirstParagraph"/>
      </w:pPr>
      <w:r>
        <w:t xml:space="preserve">A monthly service that keeps a delivered Agent working and improving. The Agent itself belongs to</w:t>
      </w:r>
      <w:r>
        <w:t xml:space="preserve"> </w:t>
      </w:r>
      <w:r>
        <w:t xml:space="preserve">Client under the license in the MSA; the Care Plan is the people and process around it.</w:t>
      </w:r>
    </w:p>
    <w:bookmarkEnd w:id="20"/>
    <w:bookmarkStart w:id="21" w:name="Xe644363811bcc80a4891bdb39ea72913be12bd1"/>
    <w:p>
      <w:pPr>
        <w:pStyle w:val="Heading2"/>
      </w:pPr>
      <w:r>
        <w:t xml:space="preserve">2. Included each month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</w:pP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Starter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Standard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Advanced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Fee (from month 4)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$250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$450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$750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Monitoring of runs and costs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Monthly results email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Fixes when a connected tool or AI model changes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Moves to newer AI models when the current one is retired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Tuning hours (prompts, scoring, settings)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Quarterly tuning call</w:t>
            </w:r>
          </w:p>
        </w:tc>
        <w:tc>
          <w:tcPr/>
          <w:p>
            <w:pPr>
              <w:pStyle w:val="Compact"/>
              <w:spacing w:after="40" w:before="0"/>
            </w:pP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✓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Response time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 business days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 business days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 business days</w:t>
            </w:r>
          </w:p>
        </w:tc>
      </w:tr>
    </w:tbl>
    <w:p>
      <w:pPr>
        <w:pStyle w:val="BodyText"/>
      </w:pPr>
      <w:r>
        <w:t xml:space="preserve">Unused tuning hours don't roll over.</w:t>
      </w:r>
    </w:p>
    <w:bookmarkEnd w:id="21"/>
    <w:bookmarkStart w:id="22" w:name="Xe248bdc5254e84c18c3814bd3f49e3eda49bb44"/>
    <w:p>
      <w:pPr>
        <w:pStyle w:val="Heading2"/>
      </w:pPr>
      <w:r>
        <w:t xml:space="preserve">3. Fix guarantee</w:t>
      </w:r>
    </w:p>
    <w:p>
      <w:pPr>
        <w:pStyle w:val="FirstParagraph"/>
      </w:pPr>
      <w:r>
        <w:t xml:space="preserve">If a change in a connected third-party tool breaks the Agent, Provider will restore it within 5 business days</w:t>
      </w:r>
      <w:r>
        <w:t xml:space="preserve"> </w:t>
      </w:r>
      <w:r>
        <w:t xml:space="preserve">of being told (or of detecting it). If Provider misses that, the Care Plan fee for that month is waived.</w:t>
      </w:r>
      <w:r>
        <w:t xml:space="preserve"> </w:t>
      </w:r>
      <w:r>
        <w:t xml:space="preserve">This doesn't apply when the cause is Client revoking access, an account lapsing, or a third-party outage.</w:t>
      </w:r>
    </w:p>
    <w:bookmarkEnd w:id="22"/>
    <w:bookmarkStart w:id="23" w:name="Xa311fc7809d824b36f4a8ef7d47e0ad2f819492"/>
    <w:p>
      <w:pPr>
        <w:pStyle w:val="Heading2"/>
      </w:pPr>
      <w:r>
        <w:t xml:space="preserve">4. Access</w:t>
      </w:r>
    </w:p>
    <w:p>
      <w:pPr>
        <w:pStyle w:val="FirstParagraph"/>
      </w:pPr>
      <w:r>
        <w:t xml:space="preserve">Client gives Provider a</w:t>
      </w:r>
      <w:r>
        <w:t xml:space="preserve"> </w:t>
      </w:r>
      <w:r>
        <w:rPr>
          <w:bCs/>
          <w:b/>
        </w:rPr>
        <w:t xml:space="preserve">separate, limited credential</w:t>
      </w:r>
      <w:r>
        <w:t xml:space="preserve"> </w:t>
      </w:r>
      <w:r>
        <w:t xml:space="preserve">(for example a dedicated integration user or API key)</w:t>
      </w:r>
      <w:r>
        <w:t xml:space="preserve"> </w:t>
      </w:r>
      <w:r>
        <w:t xml:space="preserve">used only for Care Plan work. Client can revoke it at any time. Provider stores it encrypted and uses it only</w:t>
      </w:r>
      <w:r>
        <w:t xml:space="preserve"> </w:t>
      </w:r>
      <w:r>
        <w:t xml:space="preserve">for monitoring, fixes and approved changes.</w:t>
      </w:r>
    </w:p>
    <w:bookmarkEnd w:id="23"/>
    <w:bookmarkStart w:id="24" w:name="X1723afab448214129f6f5bfe14863a02ea5e888"/>
    <w:p>
      <w:pPr>
        <w:pStyle w:val="Heading2"/>
      </w:pPr>
      <w:r>
        <w:t xml:space="preserve">5. Not included</w:t>
      </w:r>
    </w:p>
    <w:p>
      <w:pPr>
        <w:pStyle w:val="FirstParagraph"/>
      </w:pPr>
      <w:r>
        <w:t xml:space="preserve">New agents or new kinds of tasks, new tool connections, data cleanup, work during third-party outages,</w:t>
      </w:r>
      <w:r>
        <w:t xml:space="preserve"> </w:t>
      </w:r>
      <w:r>
        <w:t xml:space="preserve">and changes beyond the included tuning hours (billed at $125/hour or quoted).</w:t>
      </w:r>
    </w:p>
    <w:bookmarkEnd w:id="24"/>
    <w:bookmarkStart w:id="25" w:name="Xf3abd296c05af84cace4ad34eaefeb4686cc997"/>
    <w:p>
      <w:pPr>
        <w:pStyle w:val="Heading2"/>
      </w:pPr>
      <w:r>
        <w:t xml:space="preserve">6. Term, cancellation and lapse</w:t>
      </w:r>
    </w:p>
    <w:p>
      <w:pPr>
        <w:numPr>
          <w:ilvl w:val="0"/>
          <w:numId w:val="1001"/>
        </w:numPr>
        <w:pStyle w:val="Compact"/>
      </w:pPr>
      <w:r>
        <w:t xml:space="preserve">Months 1 to 3 are included in the launch package (6 months committed for founding clients).</w:t>
      </w:r>
    </w:p>
    <w:p>
      <w:pPr>
        <w:numPr>
          <w:ilvl w:val="0"/>
          <w:numId w:val="1001"/>
        </w:numPr>
        <w:pStyle w:val="Compact"/>
      </w:pPr>
      <w:r>
        <w:t xml:space="preserve">After that, month to month. Either party may cancel with 30 days' written notice.</w:t>
      </w:r>
    </w:p>
    <w:p>
      <w:pPr>
        <w:numPr>
          <w:ilvl w:val="0"/>
          <w:numId w:val="1001"/>
        </w:numPr>
        <w:pStyle w:val="Compact"/>
      </w:pPr>
      <w:r>
        <w:t xml:space="preserve">Unpaid Care Plan invoices more than 15 days late pause Care Plan services (not the Client's license).</w:t>
      </w:r>
    </w:p>
    <w:p>
      <w:pPr>
        <w:numPr>
          <w:ilvl w:val="0"/>
          <w:numId w:val="1001"/>
        </w:numPr>
        <w:pStyle w:val="Compact"/>
      </w:pPr>
      <w:r>
        <w:t xml:space="preserve">When the Care Plan ends: Client revokes the Care Plan credential, Provider deletes Client data and keys it holds,</w:t>
      </w:r>
      <w:r>
        <w:t xml:space="preserve"> </w:t>
      </w:r>
      <w:r>
        <w:t xml:space="preserve">and the Agent keeps running in Client's systems under the license, without monitoring or fixes.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Reactivation:</w:t>
      </w:r>
      <w:r>
        <w:t xml:space="preserve"> </w:t>
      </w:r>
      <w:r>
        <w:t xml:space="preserve">restarting care after a lapse costs a one-time reactivation fee ($500 / $750 / $1,000 by tier),</w:t>
      </w:r>
      <w:r>
        <w:t xml:space="preserve"> </w:t>
      </w:r>
      <w:r>
        <w:t xml:space="preserve">which covers re-testing and repairing the Agent, then the monthly fee resumes.</w:t>
      </w:r>
    </w:p>
    <w:bookmarkEnd w:id="25"/>
    <w:bookmarkStart w:id="26" w:name="X6f72bb99dd59d847dbfa14ca74e2b7efb0fcdeb"/>
    <w:p>
      <w:pPr>
        <w:pStyle w:val="Heading2"/>
      </w:pPr>
      <w:r>
        <w:t xml:space="preserve">7. Annual prepay</w:t>
      </w:r>
    </w:p>
    <w:p>
      <w:pPr>
        <w:pStyle w:val="FirstParagraph"/>
      </w:pPr>
      <w:r>
        <w:t xml:space="preserve">Paying 12 months in advance costs 10 months' fees. Refunds on early cancellation are pro-rated at the monthly rate.</w:t>
      </w:r>
    </w:p>
    <w:bookmarkEnd w:id="26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Care Plan Terms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2026-10-31T03:58:15Z</dcterms:created>
  <dcterms:modified xsi:type="dcterms:W3CDTF">2026-10-31T03:58:15Z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