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120" w:before="3000"/>
        <w:jc w:val="left"/>
      </w:pPr>
      <w:r>
        <w:rPr>
          <w:rFonts w:ascii="Segoe UI" w:hAnsi="Segoe UI"/>
          <w:b w:val="0"/>
          <w:color w:val="1A2E20"/>
          <w:sz w:val="20"/>
        </w:rPr>
        <w:drawing>
          <wp:inline>
            <wp:extent cx="2377440" cy="308187"/>
            <wp:docPr id="1" name="Picture 1"/>
            <wp:cNvGraphicFramePr>
              <a:graphicFrameLocks noChangeAspect="1"/>
            </wp:cNvGraphicFramePr>
            <a:graphic>
              <a:graphicData uri="http://schemas.openxmlformats.org/drawingml/2006/picture">
                <pic:pic>
                  <pic:nvPicPr>
                    <pic:cNvPr id="0" name="wordmark_gradient.png"/>
                    <pic:cNvPicPr/>
                  </pic:nvPicPr>
                  <pic:blipFill>
                    <a:blip r:embed="rId9"/>
                    <a:stretch>
                      <a:fillRect/>
                    </a:stretch>
                  </pic:blipFill>
                  <pic:spPr>
                    <a:xfrm>
                      <a:off x="0" y="0"/>
                      <a:ext cx="2377440" cy="308187"/>
                    </a:xfrm>
                    <a:prstGeom prst="rect"/>
                  </pic:spPr>
                </pic:pic>
              </a:graphicData>
            </a:graphic>
          </wp:inline>
        </w:drawing>
      </w:r>
    </w:p>
    <w:p>
      <w:pPr>
        <w:spacing w:after="1200" w:before="0"/>
        <w:jc w:val="left"/>
      </w:pPr>
      <w:r>
        <w:rPr>
          <w:rFonts w:ascii="Segoe UI" w:hAnsi="Segoe UI"/>
          <w:b w:val="0"/>
          <w:color w:val="5A7A65"/>
          <w:sz w:val="21"/>
        </w:rPr>
        <w:t>AI agents that do the busywork inside the tools you already use.</w:t>
      </w:r>
    </w:p>
    <w:p>
      <w:pPr>
        <w:spacing w:after="160" w:before="0"/>
        <w:jc w:val="left"/>
      </w:pPr>
      <w:r>
        <w:rPr>
          <w:rFonts w:ascii="Segoe UI" w:hAnsi="Segoe UI"/>
          <w:b/>
          <w:color w:val="1A2E20"/>
          <w:sz w:val="60"/>
        </w:rPr>
        <w:t>Data Handling and Security Policy</w:t>
      </w:r>
    </w:p>
    <w:p>
      <w:pPr>
        <w:spacing w:after="480" w:before="0"/>
        <w:jc w:val="left"/>
        <w:pBdr>
          <w:bottom w:val="single" w:sz="12" w:space="12" w:color="3EC9C9"/>
        </w:pBdr>
      </w:pPr>
      <w:r>
        <w:rPr>
          <w:rFonts w:ascii="Segoe UI" w:hAnsi="Segoe UI"/>
          <w:b w:val="0"/>
          <w:color w:val="1A6EF5"/>
          <w:sz w:val="26"/>
        </w:rPr>
        <w:t>Exhibit B to the Master Services Agreement</w:t>
      </w:r>
    </w:p>
    <w:p>
      <w:pPr>
        <w:spacing w:after="0" w:before="0"/>
        <w:jc w:val="left"/>
      </w:pPr>
      <w:r>
        <w:rPr>
          <w:rFonts w:ascii="Segoe UI" w:hAnsi="Segoe UI"/>
          <w:b w:val="0"/>
          <w:color w:val="5A7A65"/>
          <w:sz w:val="20"/>
        </w:rPr>
        <w:t>Version 1.0  ·  October 30, 2026  ·  plaiceholder.io</w:t>
      </w:r>
    </w:p>
    <w:p>
      <w:pPr>
        <w:spacing w:after="0" w:before="0"/>
        <w:jc w:val="left"/>
      </w:pPr>
      <w:r>
        <w:rPr>
          <w:rFonts w:ascii="Segoe UI" w:hAnsi="Segoe UI"/>
          <w:b w:val="0"/>
          <w:color w:val="1A2E20"/>
          <w:sz w:val="20"/>
        </w:rPr>
        <w:br w:type="page"/>
      </w:r>
    </w:p>
    <w:p>
      <w:pPr>
        <w:pStyle w:val="FirstParagraph"/>
      </w:pPr>
      <w:r>
        <w:t xml:space="preserve">Version 1.0 · October 2026 · Owner: [Founder Name]</w:t>
      </w:r>
    </w:p>
    <w:bookmarkStart w:id="20" w:name="principles"/>
    <w:p>
      <w:pPr>
        <w:pStyle w:val="Heading2"/>
      </w:pPr>
      <w:r>
        <w:t xml:space="preserve">Principles</w:t>
      </w:r>
    </w:p>
    <w:p>
      <w:pPr>
        <w:numPr>
          <w:ilvl w:val="0"/>
          <w:numId w:val="1001"/>
        </w:numPr>
        <w:pStyle w:val="Compact"/>
      </w:pPr>
      <w:r>
        <w:rPr>
          <w:bCs/>
          <w:b/>
        </w:rPr>
        <w:t xml:space="preserve">Client data stays in client systems.</w:t>
      </w:r>
      <w:r>
        <w:t xml:space="preserve"> </w:t>
      </w:r>
      <w:r>
        <w:t xml:space="preserve">Agents run in the client's accounts with the client's keys.</w:t>
      </w:r>
    </w:p>
    <w:p>
      <w:pPr>
        <w:numPr>
          <w:ilvl w:val="0"/>
          <w:numId w:val="1001"/>
        </w:numPr>
        <w:pStyle w:val="Compact"/>
      </w:pPr>
      <w:r>
        <w:rPr>
          <w:bCs/>
          <w:b/>
        </w:rPr>
        <w:t xml:space="preserve">Least access, shortest time.</w:t>
      </w:r>
      <w:r>
        <w:t xml:space="preserve"> </w:t>
      </w:r>
      <w:r>
        <w:t xml:space="preserve">We get only the access a step needs, and give it back when done.</w:t>
      </w:r>
    </w:p>
    <w:p>
      <w:pPr>
        <w:numPr>
          <w:ilvl w:val="0"/>
          <w:numId w:val="1001"/>
        </w:numPr>
        <w:pStyle w:val="Compact"/>
      </w:pPr>
      <w:r>
        <w:rPr>
          <w:bCs/>
          <w:b/>
        </w:rPr>
        <w:t xml:space="preserve">Nothing leaves the delivery that shouldn't.</w:t>
      </w:r>
      <w:r>
        <w:t xml:space="preserve"> </w:t>
      </w:r>
      <w:r>
        <w:t xml:space="preserve">Every build scans its files for secrets and refuses to deliver if it finds one.</w:t>
      </w:r>
    </w:p>
    <w:p>
      <w:pPr>
        <w:numPr>
          <w:ilvl w:val="0"/>
          <w:numId w:val="1001"/>
        </w:numPr>
        <w:pStyle w:val="Compact"/>
      </w:pPr>
      <w:r>
        <w:rPr>
          <w:bCs/>
          <w:b/>
        </w:rPr>
        <w:t xml:space="preserve">Humans approve.</w:t>
      </w:r>
      <w:r>
        <w:t xml:space="preserve"> </w:t>
      </w:r>
      <w:r>
        <w:t xml:space="preserve">Agents draft, score and flag; people send, pay and decide.</w:t>
      </w:r>
    </w:p>
    <w:bookmarkEnd w:id="20"/>
    <w:bookmarkStart w:id="21" w:name="what-we-access-when"/>
    <w:p>
      <w:pPr>
        <w:pStyle w:val="Heading2"/>
      </w:pPr>
      <w:r>
        <w:t xml:space="preserve">What we access, when</w:t>
      </w:r>
    </w:p>
    <w:tbl>
      <w:tblPr>
        <w:tblStyle w:val="Table"/>
        <w:tblLook w:firstRow="1" w:lastRow="0" w:firstColumn="0" w:lastColumn="0" w:noHBand="0" w:noVBand="0" w:val="0020"/>
        <w:jc w:val="center"/>
        <w:tblBorders>
          <w:top w:val="single" w:sz="4" w:space="0" w:color="C9EFEF"/>
          <w:left w:val="single" w:sz="4" w:space="0" w:color="C9EFEF"/>
          <w:bottom w:val="single" w:sz="4" w:space="0" w:color="C9EFEF"/>
          <w:right w:val="single" w:sz="4" w:space="0" w:color="C9EFEF"/>
          <w:insideH w:val="single" w:sz="4" w:space="0" w:color="C9EFEF"/>
          <w:insideV w:val="single" w:sz="4" w:space="0" w:color="C9EFEF"/>
        </w:tblBorders>
        <w:tblW w:w="5000" w:type="pct"/>
        <w:tblCellMar>
          <w:top w:w="60" w:type="dxa"/>
          <w:bottom w:w="60" w:type="dxa"/>
          <w:left w:w="100" w:type="dxa"/>
          <w:right w:w="100" w:type="dxa"/>
        </w:tblCellMar>
      </w:tblPr>
      <w:tblGrid>
        <w:gridCol w:w="1980"/>
        <w:gridCol w:w="1980"/>
        <w:gridCol w:w="1980"/>
        <w:gridCol w:w="1980"/>
      </w:tblGrid>
      <w:tr>
        <w:trPr>
          <w:tblHeader w:val="true"/>
          <w:tblHeader w:val="true"/>
        </w:trPr>
        <w:tc>
          <w:tcPr>
            <w:shd w:val="clear" w:color="auto" w:fill="0D1B2A"/>
          </w:tcPr>
          <w:p>
            <w:pPr>
              <w:pStyle w:val="Compact"/>
              <w:spacing w:after="40" w:before="0"/>
              <w:jc w:val="left"/>
            </w:pPr>
            <w:r>
              <w:rPr>
                <w:rFonts w:ascii="Segoe UI" w:hAnsi="Segoe UI"/>
                <w:b/>
                <w:color w:val="FFFFFF"/>
                <w:sz w:val="19"/>
              </w:rPr>
              <w:t xml:space="preserve">Phase</w:t>
            </w:r>
          </w:p>
        </w:tc>
        <w:tc>
          <w:tcPr>
            <w:shd w:val="clear" w:color="auto" w:fill="0D1B2A"/>
          </w:tcPr>
          <w:p>
            <w:pPr>
              <w:pStyle w:val="Compact"/>
              <w:spacing w:after="40" w:before="0"/>
              <w:jc w:val="left"/>
            </w:pPr>
            <w:r>
              <w:rPr>
                <w:rFonts w:ascii="Segoe UI" w:hAnsi="Segoe UI"/>
                <w:b/>
                <w:color w:val="FFFFFF"/>
                <w:sz w:val="19"/>
              </w:rPr>
              <w:t xml:space="preserve">Access</w:t>
            </w:r>
          </w:p>
        </w:tc>
        <w:tc>
          <w:tcPr>
            <w:shd w:val="clear" w:color="auto" w:fill="0D1B2A"/>
          </w:tcPr>
          <w:p>
            <w:pPr>
              <w:pStyle w:val="Compact"/>
              <w:spacing w:after="40" w:before="0"/>
              <w:jc w:val="left"/>
            </w:pPr>
            <w:r>
              <w:rPr>
                <w:rFonts w:ascii="Segoe UI" w:hAnsi="Segoe UI"/>
                <w:b/>
                <w:color w:val="FFFFFF"/>
                <w:sz w:val="19"/>
              </w:rPr>
              <w:t xml:space="preserve">Where it lives</w:t>
            </w:r>
          </w:p>
        </w:tc>
        <w:tc>
          <w:tcPr>
            <w:shd w:val="clear" w:color="auto" w:fill="0D1B2A"/>
          </w:tcPr>
          <w:p>
            <w:pPr>
              <w:pStyle w:val="Compact"/>
              <w:spacing w:after="40" w:before="0"/>
              <w:jc w:val="left"/>
            </w:pPr>
            <w:r>
              <w:rPr>
                <w:rFonts w:ascii="Segoe UI" w:hAnsi="Segoe UI"/>
                <w:b/>
                <w:color w:val="FFFFFF"/>
                <w:sz w:val="19"/>
              </w:rPr>
              <w:t xml:space="preserve">Removed when</w:t>
            </w:r>
          </w:p>
        </w:tc>
      </w:tr>
      <w:tr>
        <w:tc>
          <w:tcPr/>
          <w:p>
            <w:pPr>
              <w:pStyle w:val="Compact"/>
              <w:spacing w:after="40" w:before="0"/>
              <w:jc w:val="left"/>
            </w:pPr>
            <w:r>
              <w:rPr>
                <w:rFonts w:ascii="Segoe UI" w:hAnsi="Segoe UI"/>
                <w:sz w:val="19"/>
              </w:rPr>
              <w:t xml:space="preserve">Build and pilot</w:t>
            </w:r>
          </w:p>
        </w:tc>
        <w:tc>
          <w:tcPr/>
          <w:p>
            <w:pPr>
              <w:pStyle w:val="Compact"/>
              <w:spacing w:after="40" w:before="0"/>
              <w:jc w:val="left"/>
            </w:pPr>
            <w:r>
              <w:rPr>
                <w:rFonts w:ascii="Segoe UI" w:hAnsi="Segoe UI"/>
                <w:sz w:val="19"/>
              </w:rPr>
              <w:t xml:space="preserve">Client-created API keys for the tools in the SOW</w:t>
            </w:r>
          </w:p>
        </w:tc>
        <w:tc>
          <w:tcPr/>
          <w:p>
            <w:pPr>
              <w:pStyle w:val="Compact"/>
              <w:spacing w:after="40" w:before="0"/>
              <w:jc w:val="left"/>
            </w:pPr>
            <w:r>
              <w:rPr>
                <w:rStyle w:val="VerbatimChar"/>
                <w:rFonts w:ascii="Segoe UI" w:hAnsi="Segoe UI"/>
                <w:sz w:val="19"/>
              </w:rPr>
              <w:t xml:space="preserve">clients/&lt;client&gt;/.env</w:t>
            </w:r>
            <w:r>
              <w:rPr>
                <w:rFonts w:ascii="Segoe UI" w:hAnsi="Segoe UI"/>
                <w:sz w:val="19"/>
              </w:rPr>
              <w:t xml:space="preserve"> </w:t>
            </w:r>
            <w:r>
              <w:rPr>
                <w:rFonts w:ascii="Segoe UI" w:hAnsi="Segoe UI"/>
                <w:sz w:val="19"/>
              </w:rPr>
              <w:t xml:space="preserve">on Provider's encrypted laptop; never in email or chat</w:t>
            </w:r>
          </w:p>
        </w:tc>
        <w:tc>
          <w:tcPr/>
          <w:p>
            <w:pPr>
              <w:pStyle w:val="Compact"/>
              <w:spacing w:after="40" w:before="0"/>
              <w:jc w:val="left"/>
            </w:pPr>
            <w:r>
              <w:rPr>
                <w:rFonts w:ascii="Segoe UI" w:hAnsi="Segoe UI"/>
                <w:sz w:val="19"/>
              </w:rPr>
              <w:t xml:space="preserve">Handover</w:t>
            </w:r>
          </w:p>
        </w:tc>
      </w:tr>
      <w:tr>
        <w:tc>
          <w:tcPr>
            <w:shd w:val="clear" w:color="auto" w:fill="F4FDF8"/>
          </w:tcPr>
          <w:p>
            <w:pPr>
              <w:pStyle w:val="Compact"/>
              <w:spacing w:after="40" w:before="0"/>
              <w:jc w:val="left"/>
            </w:pPr>
            <w:r>
              <w:rPr>
                <w:rFonts w:ascii="Segoe UI" w:hAnsi="Segoe UI"/>
                <w:sz w:val="19"/>
              </w:rPr>
              <w:t xml:space="preserve">Pilot data</w:t>
            </w:r>
          </w:p>
        </w:tc>
        <w:tc>
          <w:tcPr>
            <w:shd w:val="clear" w:color="auto" w:fill="F4FDF8"/>
          </w:tcPr>
          <w:p>
            <w:pPr>
              <w:pStyle w:val="Compact"/>
              <w:spacing w:after="40" w:before="0"/>
              <w:jc w:val="left"/>
            </w:pPr>
            <w:r>
              <w:rPr>
                <w:rFonts w:ascii="Segoe UI" w:hAnsi="Segoe UI"/>
                <w:sz w:val="19"/>
              </w:rPr>
              <w:t xml:space="preserve">Records pulled during the pilot (logs, results, backups)</w:t>
            </w:r>
          </w:p>
        </w:tc>
        <w:tc>
          <w:tcPr>
            <w:shd w:val="clear" w:color="auto" w:fill="F4FDF8"/>
          </w:tcPr>
          <w:p>
            <w:pPr>
              <w:pStyle w:val="Compact"/>
              <w:spacing w:after="40" w:before="0"/>
              <w:jc w:val="left"/>
            </w:pPr>
            <w:r>
              <w:rPr>
                <w:rStyle w:val="VerbatimChar"/>
                <w:rFonts w:ascii="Segoe UI" w:hAnsi="Segoe UI"/>
                <w:sz w:val="19"/>
              </w:rPr>
              <w:t xml:space="preserve">clients/&lt;client&gt;/runs/</w:t>
            </w:r>
            <w:r>
              <w:rPr>
                <w:rFonts w:ascii="Segoe UI" w:hAnsi="Segoe UI"/>
                <w:sz w:val="19"/>
              </w:rPr>
              <w:t xml:space="preserve"> </w:t>
            </w:r>
            <w:r>
              <w:rPr>
                <w:rFonts w:ascii="Segoe UI" w:hAnsi="Segoe UI"/>
                <w:sz w:val="19"/>
              </w:rPr>
              <w:t xml:space="preserve">on the same laptop</w:t>
            </w:r>
          </w:p>
        </w:tc>
        <w:tc>
          <w:tcPr>
            <w:shd w:val="clear" w:color="auto" w:fill="F4FDF8"/>
          </w:tcPr>
          <w:p>
            <w:pPr>
              <w:pStyle w:val="Compact"/>
              <w:spacing w:after="40" w:before="0"/>
              <w:jc w:val="left"/>
            </w:pPr>
            <w:r>
              <w:rPr>
                <w:rFonts w:ascii="Segoe UI" w:hAnsi="Segoe UI"/>
                <w:sz w:val="19"/>
              </w:rPr>
              <w:t xml:space="preserve">Handover (deleted)</w:t>
            </w:r>
          </w:p>
        </w:tc>
      </w:tr>
      <w:tr>
        <w:tc>
          <w:tcPr/>
          <w:p>
            <w:pPr>
              <w:pStyle w:val="Compact"/>
              <w:spacing w:after="40" w:before="0"/>
              <w:jc w:val="left"/>
            </w:pPr>
            <w:r>
              <w:rPr>
                <w:rFonts w:ascii="Segoe UI" w:hAnsi="Segoe UI"/>
                <w:sz w:val="19"/>
              </w:rPr>
              <w:t xml:space="preserve">Care Plan</w:t>
            </w:r>
          </w:p>
        </w:tc>
        <w:tc>
          <w:tcPr/>
          <w:p>
            <w:pPr>
              <w:pStyle w:val="Compact"/>
              <w:spacing w:after="40" w:before="0"/>
              <w:jc w:val="left"/>
            </w:pPr>
            <w:r>
              <w:rPr>
                <w:rFonts w:ascii="Segoe UI" w:hAnsi="Segoe UI"/>
                <w:sz w:val="19"/>
              </w:rPr>
              <w:t xml:space="preserve">One limited, revocable credential</w:t>
            </w:r>
          </w:p>
        </w:tc>
        <w:tc>
          <w:tcPr/>
          <w:p>
            <w:pPr>
              <w:pStyle w:val="Compact"/>
              <w:spacing w:after="40" w:before="0"/>
              <w:jc w:val="left"/>
            </w:pPr>
            <w:r>
              <w:rPr>
                <w:rFonts w:ascii="Segoe UI" w:hAnsi="Segoe UI"/>
                <w:sz w:val="19"/>
              </w:rPr>
              <w:t xml:space="preserve">Password manager / encrypted</w:t>
            </w:r>
            <w:r>
              <w:rPr>
                <w:rFonts w:ascii="Segoe UI" w:hAnsi="Segoe UI"/>
                <w:sz w:val="19"/>
              </w:rPr>
              <w:t xml:space="preserve"> </w:t>
            </w:r>
            <w:r>
              <w:rPr>
                <w:rStyle w:val="VerbatimChar"/>
                <w:rFonts w:ascii="Segoe UI" w:hAnsi="Segoe UI"/>
                <w:sz w:val="19"/>
              </w:rPr>
              <w:t xml:space="preserve">.env</w:t>
            </w:r>
          </w:p>
        </w:tc>
        <w:tc>
          <w:tcPr/>
          <w:p>
            <w:pPr>
              <w:pStyle w:val="Compact"/>
              <w:spacing w:after="40" w:before="0"/>
              <w:jc w:val="left"/>
            </w:pPr>
            <w:r>
              <w:rPr>
                <w:rFonts w:ascii="Segoe UI" w:hAnsi="Segoe UI"/>
                <w:sz w:val="19"/>
              </w:rPr>
              <w:t xml:space="preserve">Care Plan ends, or client revokes it</w:t>
            </w:r>
          </w:p>
        </w:tc>
      </w:tr>
      <w:tr>
        <w:tc>
          <w:tcPr>
            <w:shd w:val="clear" w:color="auto" w:fill="F4FDF8"/>
          </w:tcPr>
          <w:p>
            <w:pPr>
              <w:pStyle w:val="Compact"/>
              <w:spacing w:after="40" w:before="0"/>
              <w:jc w:val="left"/>
            </w:pPr>
            <w:r>
              <w:rPr>
                <w:rFonts w:ascii="Segoe UI" w:hAnsi="Segoe UI"/>
                <w:sz w:val="19"/>
              </w:rPr>
              <w:t xml:space="preserve">After the Care Plan</w:t>
            </w:r>
          </w:p>
        </w:tc>
        <w:tc>
          <w:tcPr>
            <w:shd w:val="clear" w:color="auto" w:fill="F4FDF8"/>
          </w:tcPr>
          <w:p>
            <w:pPr>
              <w:pStyle w:val="Compact"/>
              <w:spacing w:after="40" w:before="0"/>
              <w:jc w:val="left"/>
            </w:pPr>
            <w:r>
              <w:rPr>
                <w:rFonts w:ascii="Segoe UI" w:hAnsi="Segoe UI"/>
                <w:sz w:val="19"/>
              </w:rPr>
              <w:t xml:space="preserve">None</w:t>
            </w:r>
          </w:p>
        </w:tc>
        <w:tc>
          <w:tcPr>
            <w:shd w:val="clear" w:color="auto" w:fill="F4FDF8"/>
          </w:tcPr>
          <w:p>
            <w:pPr>
              <w:pStyle w:val="Compact"/>
              <w:spacing w:after="40" w:before="0"/>
              <w:jc w:val="left"/>
            </w:pPr>
            <w:r>
              <w:rPr>
                <w:rFonts w:ascii="Segoe UI" w:hAnsi="Segoe UI"/>
                <w:sz w:val="19"/>
              </w:rPr>
              <w:t xml:space="preserve">None</w:t>
            </w:r>
          </w:p>
        </w:tc>
        <w:tc>
          <w:tcPr>
            <w:shd w:val="clear" w:color="auto" w:fill="F4FDF8"/>
          </w:tcPr>
          <w:p>
            <w:pPr>
              <w:pStyle w:val="Compact"/>
              <w:spacing w:after="40" w:before="0"/>
              <w:jc w:val="left"/>
            </w:pPr>
            <w:r>
              <w:rPr>
                <w:rFonts w:ascii="Segoe UI" w:hAnsi="Segoe UI"/>
                <w:sz w:val="19"/>
              </w:rPr>
              <w:t xml:space="preserve">n/a</w:t>
            </w:r>
          </w:p>
        </w:tc>
      </w:tr>
    </w:tbl>
    <w:bookmarkEnd w:id="21"/>
    <w:bookmarkStart w:id="22" w:name="key-handling"/>
    <w:p>
      <w:pPr>
        <w:pStyle w:val="Heading2"/>
      </w:pPr>
      <w:r>
        <w:t xml:space="preserve">Key handling</w:t>
      </w:r>
    </w:p>
    <w:p>
      <w:pPr>
        <w:numPr>
          <w:ilvl w:val="0"/>
          <w:numId w:val="1002"/>
        </w:numPr>
        <w:pStyle w:val="Compact"/>
      </w:pPr>
      <w:r>
        <w:t xml:space="preserve">Keys are typed with hidden input (</w:t>
      </w:r>
      <w:r>
        <w:rPr>
          <w:rStyle w:val="VerbatimChar"/>
        </w:rPr>
        <w:t xml:space="preserve">kit.py set-key</w:t>
      </w:r>
      <w:r>
        <w:t xml:space="preserve">); they're never pasted into chats, emails or documents.</w:t>
      </w:r>
    </w:p>
    <w:p>
      <w:pPr>
        <w:numPr>
          <w:ilvl w:val="0"/>
          <w:numId w:val="1002"/>
        </w:numPr>
        <w:pStyle w:val="Compact"/>
      </w:pPr>
      <w:r>
        <w:t xml:space="preserve">Keys are never committed to version control (</w:t>
      </w:r>
      <w:r>
        <w:rPr>
          <w:rStyle w:val="VerbatimChar"/>
        </w:rPr>
        <w:t xml:space="preserve">.gitignore</w:t>
      </w:r>
      <w:r>
        <w:t xml:space="preserve"> </w:t>
      </w:r>
      <w:r>
        <w:t xml:space="preserve">excludes every</w:t>
      </w:r>
      <w:r>
        <w:t xml:space="preserve"> </w:t>
      </w:r>
      <w:r>
        <w:rPr>
          <w:rStyle w:val="VerbatimChar"/>
        </w:rPr>
        <w:t xml:space="preserve">.env</w:t>
      </w:r>
      <w:r>
        <w:t xml:space="preserve">).</w:t>
      </w:r>
    </w:p>
    <w:p>
      <w:pPr>
        <w:numPr>
          <w:ilvl w:val="0"/>
          <w:numId w:val="1002"/>
        </w:numPr>
        <w:pStyle w:val="Compact"/>
      </w:pPr>
      <w:r>
        <w:t xml:space="preserve">Deliveries contain a</w:t>
      </w:r>
      <w:r>
        <w:t xml:space="preserve"> </w:t>
      </w:r>
      <w:r>
        <w:rPr>
          <w:rStyle w:val="VerbatimChar"/>
        </w:rPr>
        <w:t xml:space="preserve">.env.example</w:t>
      </w:r>
      <w:r>
        <w:t xml:space="preserve"> </w:t>
      </w:r>
      <w:r>
        <w:t xml:space="preserve">with key</w:t>
      </w:r>
      <w:r>
        <w:t xml:space="preserve"> </w:t>
      </w:r>
      <w:r>
        <w:rPr>
          <w:bCs/>
          <w:b/>
        </w:rPr>
        <w:t xml:space="preserve">names</w:t>
      </w:r>
      <w:r>
        <w:t xml:space="preserve"> </w:t>
      </w:r>
      <w:r>
        <w:t xml:space="preserve">only. The builder scans for key</w:t>
      </w:r>
      <w:r>
        <w:t xml:space="preserve"> </w:t>
      </w:r>
      <w:r>
        <w:rPr>
          <w:bCs/>
          <w:b/>
        </w:rPr>
        <w:t xml:space="preserve">values</w:t>
      </w:r>
      <w:r>
        <w:t xml:space="preserve"> </w:t>
      </w:r>
      <w:r>
        <w:t xml:space="preserve">and stops if it finds one.</w:t>
      </w:r>
    </w:p>
    <w:p>
      <w:pPr>
        <w:numPr>
          <w:ilvl w:val="0"/>
          <w:numId w:val="1002"/>
        </w:numPr>
        <w:pStyle w:val="Compact"/>
      </w:pPr>
      <w:r>
        <w:t xml:space="preserve">We ask clients to create keys with the narrowest permissions the agent needs (see</w:t>
      </w:r>
      <w:r>
        <w:t xml:space="preserve"> </w:t>
      </w:r>
      <w:r>
        <w:rPr>
          <w:rStyle w:val="VerbatimChar"/>
        </w:rPr>
        <w:t xml:space="preserve">docs/KEYS.md</w:t>
      </w:r>
      <w:r>
        <w:t xml:space="preserve">), and to set spending limits on AI platforms.</w:t>
      </w:r>
    </w:p>
    <w:bookmarkEnd w:id="22"/>
    <w:bookmarkStart w:id="23" w:name="devices-and-accounts"/>
    <w:p>
      <w:pPr>
        <w:pStyle w:val="Heading2"/>
      </w:pPr>
      <w:r>
        <w:t xml:space="preserve">Devices and accounts</w:t>
      </w:r>
    </w:p>
    <w:p>
      <w:pPr>
        <w:numPr>
          <w:ilvl w:val="0"/>
          <w:numId w:val="1003"/>
        </w:numPr>
        <w:pStyle w:val="Compact"/>
      </w:pPr>
      <w:r>
        <w:t xml:space="preserve">Full-disk encryption, a screen lock, and automatic OS updates on every device that touches client data.</w:t>
      </w:r>
    </w:p>
    <w:p>
      <w:pPr>
        <w:numPr>
          <w:ilvl w:val="0"/>
          <w:numId w:val="1003"/>
        </w:numPr>
        <w:pStyle w:val="Compact"/>
      </w:pPr>
      <w:r>
        <w:t xml:space="preserve">Multi-factor authentication on email, code hosting, password manager and every provider account.</w:t>
      </w:r>
    </w:p>
    <w:p>
      <w:pPr>
        <w:numPr>
          <w:ilvl w:val="0"/>
          <w:numId w:val="1003"/>
        </w:numPr>
        <w:pStyle w:val="Compact"/>
      </w:pPr>
      <w:r>
        <w:t xml:space="preserve">Client folders are kept separate: one folder per client, with no shared data between clients.</w:t>
      </w:r>
    </w:p>
    <w:bookmarkEnd w:id="23"/>
    <w:bookmarkStart w:id="24" w:name="ai-platforms"/>
    <w:p>
      <w:pPr>
        <w:pStyle w:val="Heading2"/>
      </w:pPr>
      <w:r>
        <w:t xml:space="preserve">AI platforms</w:t>
      </w:r>
    </w:p>
    <w:p>
      <w:pPr>
        <w:numPr>
          <w:ilvl w:val="0"/>
          <w:numId w:val="1004"/>
        </w:numPr>
        <w:pStyle w:val="Compact"/>
      </w:pPr>
      <w:r>
        <w:t xml:space="preserve">The client chooses the AI platform and holds the account; data is processed under that provider's business/API terms.</w:t>
      </w:r>
    </w:p>
    <w:p>
      <w:pPr>
        <w:numPr>
          <w:ilvl w:val="0"/>
          <w:numId w:val="1004"/>
        </w:numPr>
        <w:pStyle w:val="Compact"/>
      </w:pPr>
      <w:r>
        <w:t xml:space="preserve">Major providers publish terms for their API and business products, including whether data is used for training. Confirm the current terms for the client's chosen provider during kickoff and record it in the SOW notes.</w:t>
      </w:r>
    </w:p>
    <w:p>
      <w:pPr>
        <w:numPr>
          <w:ilvl w:val="0"/>
          <w:numId w:val="1004"/>
        </w:numPr>
        <w:pStyle w:val="Compact"/>
      </w:pPr>
      <w:r>
        <w:t xml:space="preserve">Agents send the AI only the fields a task needs (for example ticket text, not payment details).</w:t>
      </w:r>
    </w:p>
    <w:bookmarkEnd w:id="24"/>
    <w:bookmarkStart w:id="25" w:name="retention-and-deletion"/>
    <w:p>
      <w:pPr>
        <w:pStyle w:val="Heading2"/>
      </w:pPr>
      <w:r>
        <w:t xml:space="preserve">Retention and deletion</w:t>
      </w:r>
    </w:p>
    <w:p>
      <w:pPr>
        <w:numPr>
          <w:ilvl w:val="0"/>
          <w:numId w:val="1005"/>
        </w:numPr>
        <w:pStyle w:val="Compact"/>
      </w:pPr>
      <w:r>
        <w:t xml:space="preserve">At handover we delete the client's</w:t>
      </w:r>
      <w:r>
        <w:t xml:space="preserve"> </w:t>
      </w:r>
      <w:r>
        <w:rPr>
          <w:rStyle w:val="VerbatimChar"/>
        </w:rPr>
        <w:t xml:space="preserve">.env</w:t>
      </w:r>
      <w:r>
        <w:t xml:space="preserve">,</w:t>
      </w:r>
      <w:r>
        <w:t xml:space="preserve"> </w:t>
      </w:r>
      <w:r>
        <w:rPr>
          <w:rStyle w:val="VerbatimChar"/>
        </w:rPr>
        <w:t xml:space="preserve">runs/</w:t>
      </w:r>
      <w:r>
        <w:t xml:space="preserve">, exports and any local copies, and confirm it in writing.</w:t>
      </w:r>
    </w:p>
    <w:p>
      <w:pPr>
        <w:numPr>
          <w:ilvl w:val="0"/>
          <w:numId w:val="1005"/>
        </w:numPr>
        <w:pStyle w:val="Compact"/>
      </w:pPr>
      <w:r>
        <w:t xml:space="preserve">We keep the client's settings, pinned template and delivery history (no client records or keys) so care and reactivation are fast. On request, we delete those too.</w:t>
      </w:r>
    </w:p>
    <w:bookmarkEnd w:id="25"/>
    <w:bookmarkStart w:id="26" w:name="incidents"/>
    <w:p>
      <w:pPr>
        <w:pStyle w:val="Heading2"/>
      </w:pPr>
      <w:r>
        <w:t xml:space="preserve">Incidents</w:t>
      </w:r>
    </w:p>
    <w:p>
      <w:pPr>
        <w:pStyle w:val="FirstParagraph"/>
      </w:pPr>
      <w:r>
        <w:t xml:space="preserve">If we suspect a key or client data was exposed, we:</w:t>
      </w:r>
    </w:p>
    <w:p>
      <w:pPr>
        <w:numPr>
          <w:ilvl w:val="0"/>
          <w:numId w:val="1006"/>
        </w:numPr>
        <w:pStyle w:val="Compact"/>
      </w:pPr>
      <w:r>
        <w:t xml:space="preserve">revoke or ask the client to rotate the affected keys immediately;</w:t>
      </w:r>
    </w:p>
    <w:p>
      <w:pPr>
        <w:numPr>
          <w:ilvl w:val="0"/>
          <w:numId w:val="1006"/>
        </w:numPr>
        <w:pStyle w:val="Compact"/>
      </w:pPr>
      <w:r>
        <w:t xml:space="preserve">tell the client within 72 hours of discovery, with what happened, what was affected and what we did;</w:t>
      </w:r>
    </w:p>
    <w:p>
      <w:pPr>
        <w:numPr>
          <w:ilvl w:val="0"/>
          <w:numId w:val="1006"/>
        </w:numPr>
        <w:pStyle w:val="Compact"/>
      </w:pPr>
      <w:r>
        <w:t xml:space="preserve">write a short postmortem and fix the cause.</w:t>
      </w:r>
    </w:p>
    <w:bookmarkEnd w:id="26"/>
    <w:bookmarkStart w:id="27" w:name="review"/>
    <w:p>
      <w:pPr>
        <w:pStyle w:val="Heading2"/>
      </w:pPr>
      <w:r>
        <w:t xml:space="preserve">Review</w:t>
      </w:r>
    </w:p>
    <w:p>
      <w:pPr>
        <w:pStyle w:val="FirstParagraph"/>
      </w:pPr>
      <w:r>
        <w:t xml:space="preserve">Reviewed every 6 months, and whenever we add a new tool or AI platform.</w:t>
      </w:r>
    </w:p>
    <w:bookmarkEnd w:id="27"/>
    <w:sectPr>
      <w:footerReference w:type="default" r:id="rId10"/>
      <w:pgSz w:w="12240" w:h="15840"/>
      <w:pgMar w:left="1440" w:right="1440" w:top="1296" w:bottom="1296"/>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color w:val="5A7A65"/>
        <w:sz w:val="17"/>
      </w:rPr>
      <w:t xml:space="preserve">PlAIceholder  ·  Data Handling and Security Policy  ·  page </w:t>
    </w:r>
    <w:r>
      <w:rPr>
        <w:color w:val="5A7A65"/>
        <w:sz w:val="17"/>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Segoe UI" w:hAnsi="Segoe UI"/>
      <w:color w:val="1A2E20"/>
      <w:sz w:val="21"/>
    </w:rPr>
  </w:style>
  <w:style w:styleId="BodyText" w:type="paragraph">
    <w:name w:val="Body Text"/>
    <w:basedOn w:val="Normal"/>
    <w:link w:val="BodyTextChar"/>
    <w:pPr>
      <w:spacing w:after="120" w:before="180" w:line="276" w:lineRule="auto"/>
    </w:pPr>
    <w:qFormat/>
    <w:rPr>
      <w:rFonts w:ascii="Segoe UI" w:hAnsi="Segoe UI"/>
      <w:sz w:val="21"/>
    </w:rPr>
  </w:style>
  <w:style w:customStyle="1" w:styleId="FirstParagraph" w:type="paragraph">
    <w:name w:val="First Paragraph"/>
    <w:basedOn w:val="BodyText"/>
    <w:next w:val="BodyText"/>
    <w:qFormat/>
    <w:pPr>
      <w:spacing w:after="120" w:line="276" w:lineRule="auto"/>
    </w:pPr>
    <w:rPr>
      <w:rFonts w:ascii="Segoe UI" w:hAnsi="Segoe UI"/>
      <w:sz w:val="21"/>
    </w:rPr>
  </w:style>
  <w:style w:customStyle="1" w:styleId="Compact" w:type="paragraph">
    <w:name w:val="Compact"/>
    <w:basedOn w:val="BodyText"/>
    <w:qFormat/>
    <w:pPr>
      <w:spacing w:after="120" w:before="36" w:line="276" w:lineRule="auto"/>
    </w:pPr>
    <w:rPr>
      <w:rFonts w:ascii="Segoe UI" w:hAnsi="Segoe U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40"/>
      <w:outlineLvl w:val="0"/>
    </w:pPr>
    <w:rPr>
      <w:b/>
      <w:bCs/>
      <w:color w:val="0D1B2A"/>
      <w:sz w:val="44"/>
      <w:szCs w:val="32"/>
      <w:rFonts w:ascii="Segoe UI" w:cs="Segoe UI" w:eastAsia="Segoe UI" w:hAnsi="Segoe UI"/>
    </w:rPr>
  </w:style>
  <w:style w:styleId="Heading2" w:type="paragraph">
    <w:name w:val="Heading 2"/>
    <w:basedOn w:val="Normal"/>
    <w:next w:val="BodyText"/>
    <w:uiPriority w:val="9"/>
    <w:unhideWhenUsed/>
    <w:qFormat/>
    <w:pPr>
      <w:keepNext/>
      <w:keepLines/>
      <w:spacing w:after="120" w:before="360"/>
      <w:outlineLvl w:val="1"/>
    </w:pPr>
    <w:rPr>
      <w:b/>
      <w:bCs/>
      <w:color w:val="0D1B2A"/>
      <w:sz w:val="30"/>
      <w:szCs w:val="28"/>
      <w:rFonts w:ascii="Segoe UI" w:cs="Segoe UI" w:eastAsia="Segoe UI" w:hAnsi="Segoe UI"/>
    </w:rPr>
  </w:style>
  <w:style w:styleId="Heading3" w:type="paragraph">
    <w:name w:val="Heading 3"/>
    <w:basedOn w:val="Normal"/>
    <w:next w:val="BodyText"/>
    <w:uiPriority w:val="9"/>
    <w:unhideWhenUsed/>
    <w:qFormat/>
    <w:pPr>
      <w:keepNext/>
      <w:keepLines/>
      <w:spacing w:after="120" w:before="240"/>
      <w:outlineLvl w:val="2"/>
    </w:pPr>
    <w:rPr>
      <w:b/>
      <w:bCs/>
      <w:color w:val="1A2E20"/>
      <w:sz w:val="24"/>
      <w:szCs w:val="24"/>
      <w:rFonts w:ascii="Segoe UI" w:cs="Segoe UI" w:eastAsia="Segoe UI" w:hAnsi="Segoe UI"/>
    </w:rPr>
  </w:style>
  <w:style w:styleId="Heading4" w:type="paragraph">
    <w:name w:val="Heading 4"/>
    <w:basedOn w:val="Normal"/>
    <w:next w:val="BodyText"/>
    <w:uiPriority w:val="9"/>
    <w:unhideWhenUsed/>
    <w:qFormat/>
    <w:pPr>
      <w:keepNext/>
      <w:keepLines/>
      <w:spacing w:after="120" w:before="240"/>
      <w:outlineLvl w:val="3"/>
    </w:pPr>
    <w:rPr>
      <w:i/>
      <w:b/>
      <w:bCs/>
      <w:color w:val="1A2E20"/>
      <w:sz w:val="22"/>
      <w:szCs w:val="24"/>
      <w:rFonts w:ascii="Segoe UI" w:cs="Segoe UI" w:eastAsia="Segoe UI" w:hAnsi="Segoe UI"/>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shd w:color="auto" w:fill="ECF3FE" w:val="clear"/>
      <w:pBdr>
        <w:left w:color="1A6EF5" w:space="8" w:sz="18" w:val="single"/>
      </w:pBdr>
    </w:pPr>
    <w:rPr>
      <w:rFonts w:ascii="Segoe UI" w:hAnsi="Segoe UI"/>
      <w:i w:val="0"/>
      <w:color w:val="1A2E20"/>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olor w:val="1A6EF5"/>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A6EF5"/>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2026-10-31T03:58:15Z</dcterms:created>
  <dcterms:modified xsi:type="dcterms:W3CDTF">2026-10-31T03:58:15Z</dcterms:modified>
</cp:coreProperties>
</file>

<file path=docProps/custom.xml><?xml version="1.0" encoding="utf-8"?>
<Properties xmlns="http://schemas.openxmlformats.org/officeDocument/2006/custom-properties" xmlns:vt="http://schemas.openxmlformats.org/officeDocument/2006/docPropsVTypes"/>
</file>