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D7CEE" w14:textId="77777777" w:rsidR="006C08A6" w:rsidRDefault="00000000">
      <w:pPr>
        <w:spacing w:after="1993" w:line="233" w:lineRule="auto"/>
        <w:ind w:left="3131" w:firstLine="2886"/>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6BCBDF6" wp14:editId="31D058F0">
                <wp:simplePos x="0" y="0"/>
                <wp:positionH relativeFrom="column">
                  <wp:posOffset>63</wp:posOffset>
                </wp:positionH>
                <wp:positionV relativeFrom="paragraph">
                  <wp:posOffset>302830</wp:posOffset>
                </wp:positionV>
                <wp:extent cx="4572000" cy="3175"/>
                <wp:effectExtent l="0" t="0" r="0" b="0"/>
                <wp:wrapNone/>
                <wp:docPr id="31852" name="Group 31852"/>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9" name="Shape 9"/>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852" style="width:360pt;height:0.25pt;position:absolute;z-index:2;mso-position-horizontal-relative:text;mso-position-horizontal:absolute;margin-left:0.00495148pt;mso-position-vertical-relative:text;margin-top:23.8449pt;" coordsize="45720,31">
                <v:shape id="Shape 9" style="position:absolute;width:45720;height:0;left:0;top:0;" coordsize="4572000,0" path="m4572000,0l0,0">
                  <v:stroke weight="0.25pt" endcap="round" joinstyle="miter" miterlimit="10" on="true" color="#000000"/>
                  <v:fill on="false" color="#000000" opacity="0"/>
                </v:shape>
              </v:group>
            </w:pict>
          </mc:Fallback>
        </mc:AlternateContent>
      </w:r>
      <w:r>
        <w:rPr>
          <w:rFonts w:ascii="Calibri" w:eastAsia="Calibri" w:hAnsi="Calibri" w:cs="Calibri"/>
          <w:b/>
          <w:sz w:val="34"/>
        </w:rPr>
        <w:t xml:space="preserve">CHAPTER 3 </w:t>
      </w:r>
      <w:r>
        <w:rPr>
          <w:rFonts w:ascii="Calibri" w:eastAsia="Calibri" w:hAnsi="Calibri" w:cs="Calibri"/>
          <w:b/>
          <w:sz w:val="50"/>
        </w:rPr>
        <w:t>Evaluation Methodology</w:t>
      </w:r>
    </w:p>
    <w:p w14:paraId="24AEAFEC" w14:textId="77777777" w:rsidR="006C08A6" w:rsidRDefault="00000000">
      <w:pPr>
        <w:ind w:left="-5"/>
      </w:pPr>
      <w:r>
        <w:t xml:space="preserve">The more AI is used, the more opportunity there is for catastrophic failure. We’ve already seen many failures in the short time that foundation models have been around. A man committed suicide after being </w:t>
      </w:r>
      <w:r>
        <w:rPr>
          <w:color w:val="990000"/>
        </w:rPr>
        <w:t>encouraged by a chatbot</w:t>
      </w:r>
      <w:r>
        <w:t xml:space="preserve">. Lawyers submitted </w:t>
      </w:r>
      <w:r>
        <w:rPr>
          <w:color w:val="990000"/>
        </w:rPr>
        <w:t>false evidence hallucinated by AI</w:t>
      </w:r>
      <w:r>
        <w:t xml:space="preserve">. Air Canada was ordered to pay damages when its AI chatbot </w:t>
      </w:r>
      <w:r>
        <w:rPr>
          <w:color w:val="990000"/>
        </w:rPr>
        <w:t>gave a passenger false information</w:t>
      </w:r>
      <w:r>
        <w:t>. Without a way to quality control AI outputs, the risk of AI might outweigh its benefits for many applications.</w:t>
      </w:r>
    </w:p>
    <w:p w14:paraId="5C9FB524" w14:textId="77777777" w:rsidR="006C08A6" w:rsidRDefault="00000000">
      <w:pPr>
        <w:spacing w:after="156"/>
        <w:ind w:left="-5"/>
      </w:pPr>
      <w:r>
        <w:t>As teams rush to adopt AI, many quickly realize that the biggest hurdle to bringing AI applications to reality is evaluation. For some applications, figuring out evaluation can take up the majority of the development effort.</w:t>
      </w:r>
      <w:r>
        <w:rPr>
          <w:sz w:val="18"/>
          <w:vertAlign w:val="superscript"/>
        </w:rPr>
        <w:footnoteReference w:id="1"/>
      </w:r>
    </w:p>
    <w:p w14:paraId="75F5200F" w14:textId="77777777" w:rsidR="006C08A6" w:rsidRDefault="00000000">
      <w:pPr>
        <w:ind w:left="-5"/>
      </w:pPr>
      <w:r>
        <w:t>Due to the importance and complexity of evaluation, this book has two chapters on it. This chapter covers different evaluation methods used to evaluate open-ended models, how these methods work, and their limitations. The next chapter focuses on how to use these methods to select models for your application and build an evaluation pipeline to evaluate your application.</w:t>
      </w:r>
    </w:p>
    <w:p w14:paraId="57DBD490" w14:textId="77777777" w:rsidR="006C08A6" w:rsidRDefault="00000000">
      <w:pPr>
        <w:ind w:left="-5"/>
      </w:pPr>
      <w:r>
        <w:t>While I discuss evaluation in its own chapters, evaluation has to be considered in the context of a whole system, not in isolation. Evaluation aims to mitigate risks and uncover opportunities. To mitigate risks, you first need to identify the places where your system is likely to fail and design your evaluation around them. Often, this may require redesigning your system to enhance visibility into its failures. Without a clear understanding of where your system fails, no amount of evaluation metrics or tools can make the system robust.</w:t>
      </w:r>
    </w:p>
    <w:p w14:paraId="27766E8F" w14:textId="77777777" w:rsidR="006C08A6" w:rsidRDefault="00000000">
      <w:pPr>
        <w:ind w:left="-5"/>
      </w:pPr>
      <w:r>
        <w:t xml:space="preserve">Before diving into evaluation methods, it’s important to acknowledge the challenges of evaluating foundation models. Because evaluation is difficult, many people settle </w:t>
      </w:r>
      <w:r>
        <w:lastRenderedPageBreak/>
        <w:t xml:space="preserve">for </w:t>
      </w:r>
      <w:r>
        <w:rPr>
          <w:i/>
        </w:rPr>
        <w:t>word of mouth</w:t>
      </w:r>
      <w:r>
        <w:rPr>
          <w:sz w:val="18"/>
          <w:vertAlign w:val="superscript"/>
        </w:rPr>
        <w:footnoteReference w:id="2"/>
      </w:r>
      <w:r>
        <w:t xml:space="preserve"> (e.g., someone says that the model X is good) or eyeballing the results.</w:t>
      </w:r>
      <w:r>
        <w:rPr>
          <w:sz w:val="18"/>
          <w:vertAlign w:val="superscript"/>
        </w:rPr>
        <w:footnoteReference w:id="3"/>
      </w:r>
      <w:r>
        <w:t xml:space="preserve"> This creates even more risk and slows application iteration. Instead, we need to invest in systematic evaluation to make the results more reliable.</w:t>
      </w:r>
    </w:p>
    <w:p w14:paraId="057C1A0D" w14:textId="77777777" w:rsidR="006C08A6" w:rsidRDefault="00000000">
      <w:pPr>
        <w:ind w:left="-5"/>
      </w:pPr>
      <w:r>
        <w:t>Since many foundation models have a language model component, this chapter will provide a quick overview of the metrics used to evaluate language models, including cross entropy and perplexity. These metrics are essential for guiding the training and finetuning of language models and are frequently used in many evaluation methods.</w:t>
      </w:r>
    </w:p>
    <w:p w14:paraId="05001DBF" w14:textId="77777777" w:rsidR="006C08A6" w:rsidRDefault="00000000">
      <w:pPr>
        <w:ind w:left="-5"/>
      </w:pPr>
      <w:r>
        <w:t>Evaluating foundation models is especially challenging because they are open-ended, and I’ll cover best practices for how to tackle these. Using human evaluators remains a necessary option for many applications. However, given how slow and expensive human annotations can be, the goal is to automate the process. This book focuses on automatic evaluation, which includes both exact and subjective evaluation.</w:t>
      </w:r>
    </w:p>
    <w:p w14:paraId="7081E4A0" w14:textId="77777777" w:rsidR="006C08A6" w:rsidRDefault="00000000">
      <w:pPr>
        <w:spacing w:after="351"/>
        <w:ind w:left="-5"/>
      </w:pPr>
      <w:r>
        <w:t>The rising star of subjective evaluation is AI as a judge—the approach of using AI to evaluate AI responses. It’s subjective because the score depends on what model and prompt the AI judge uses. While this approach is gaining rapid traction in the industry, it also invites intense opposition from those who believe that AI isn’t trustworthy enough for this important task. I’m especially excited to go deeper into this discussion, and I hope you will be, too.</w:t>
      </w:r>
    </w:p>
    <w:p w14:paraId="422CCFD3" w14:textId="77777777" w:rsidR="006C08A6" w:rsidRDefault="00000000">
      <w:pPr>
        <w:pStyle w:val="Heading1"/>
        <w:ind w:left="-5"/>
      </w:pPr>
      <w:r>
        <w:t>Challenges of Evaluating Foundation Models</w:t>
      </w:r>
    </w:p>
    <w:p w14:paraId="4C2DBBAD" w14:textId="77777777" w:rsidR="006C08A6" w:rsidRDefault="00000000">
      <w:pPr>
        <w:ind w:left="-5"/>
      </w:pPr>
      <w:r>
        <w:t>Evaluating ML models has always been difficult. With the introduction of foundation models, evaluation has become even more so. There are multiple reasons why evaluating foundation models is more challenging than evaluating traditional ML models.</w:t>
      </w:r>
    </w:p>
    <w:p w14:paraId="1185B684" w14:textId="77777777" w:rsidR="006C08A6" w:rsidRDefault="00000000">
      <w:pPr>
        <w:ind w:left="-5"/>
      </w:pPr>
      <w:r>
        <w:t>First, the more intelligent AI models become, the harder it is to evaluate them. Most people can tell if a first grader’s math solution is wrong. Few can do the same for a PhD-level math solution.</w:t>
      </w:r>
      <w:r>
        <w:rPr>
          <w:sz w:val="18"/>
          <w:vertAlign w:val="superscript"/>
        </w:rPr>
        <w:footnoteReference w:id="4"/>
      </w:r>
      <w:r>
        <w:t xml:space="preserve"> It’s easy to tell if a book summary is bad if it’s gibberish, but a lot harder if the summary is coherent. To validate the quality of a summary, you might need to read the book first. This brings us to a corollary: evaluation can be so much more time-consuming for sophisticated tasks. You can no longer evaluate a </w:t>
      </w:r>
      <w:r>
        <w:lastRenderedPageBreak/>
        <w:t>response based on how it sounds. You’ll also need to fact-check, reason, and even incorporate domain expertise.</w:t>
      </w:r>
    </w:p>
    <w:p w14:paraId="51B79130" w14:textId="77777777" w:rsidR="006C08A6" w:rsidRDefault="00000000">
      <w:pPr>
        <w:ind w:left="-5"/>
      </w:pPr>
      <w:r>
        <w:t>Second, the open-ended nature of foundation models undermines the traditional approach of evaluating a model against ground truths. With traditional ML, most tasks are close-ended. For example, a classification model can only output among the expected categories. To evaluate a classification model, you can evaluate its outputs against the expected outputs. If the expected output is category X but the model’s output is category Y, the model is wrong. However, for an open-ended task, for a given input, there are so many possible correct responses. It’s impossible to curate a comprehensive list of correct outputs to compare against.</w:t>
      </w:r>
    </w:p>
    <w:p w14:paraId="0A49B0DD" w14:textId="77777777" w:rsidR="006C08A6" w:rsidRDefault="00000000">
      <w:pPr>
        <w:ind w:left="-5"/>
      </w:pPr>
      <w:r>
        <w:t>Third, most foundation models are treated as black boxes, either because model providers choose not to expose models’ details, or because application developers lack the expertise to understand them. Details such as the model architecture, training data, and the training process can reveal a lot about a model’s strengths and weaknesses. Without those details, you can evaluate only a model by observing its outputs.</w:t>
      </w:r>
    </w:p>
    <w:p w14:paraId="4812BA45" w14:textId="77777777" w:rsidR="006C08A6" w:rsidRDefault="00000000">
      <w:pPr>
        <w:ind w:left="-5"/>
      </w:pPr>
      <w:r>
        <w:t xml:space="preserve">At the same time, publicly available evaluation benchmarks have proven to be inadequate for evaluating foundation models. Ideally, evaluation benchmarks should capture the full range of model capabilities. As AI progresses, benchmarks need to evolve to catch up. A benchmark becomes saturated for a model once the model achieves the perfect score. With foundation models, benchmarks are becoming saturated fast. The benchmark </w:t>
      </w:r>
      <w:r>
        <w:rPr>
          <w:color w:val="990000"/>
        </w:rPr>
        <w:t>GLUE</w:t>
      </w:r>
      <w:r>
        <w:t xml:space="preserve"> (General Language Understanding Evaluation) came out in 2018 and became saturated in just a year, necessitating the introduction of </w:t>
      </w:r>
      <w:r>
        <w:rPr>
          <w:color w:val="990000"/>
        </w:rPr>
        <w:t>SuperGLUE</w:t>
      </w:r>
      <w:r>
        <w:t xml:space="preserve"> in 2019. Similarly, </w:t>
      </w:r>
      <w:r>
        <w:rPr>
          <w:color w:val="990000"/>
        </w:rPr>
        <w:t>NaturalInstructions</w:t>
      </w:r>
      <w:r>
        <w:t xml:space="preserve"> (2021) was replaced by </w:t>
      </w:r>
      <w:r>
        <w:rPr>
          <w:color w:val="990000"/>
        </w:rPr>
        <w:t>SuperNaturalInstructions</w:t>
      </w:r>
      <w:r>
        <w:t xml:space="preserve"> (2022). </w:t>
      </w:r>
      <w:r>
        <w:rPr>
          <w:color w:val="990000"/>
        </w:rPr>
        <w:t>MMLU</w:t>
      </w:r>
      <w:r>
        <w:t xml:space="preserve"> (2020), a strong benchmark that many early foundation models relied on, was largely replaced by </w:t>
      </w:r>
      <w:r>
        <w:rPr>
          <w:color w:val="990000"/>
        </w:rPr>
        <w:t>MMLU-Pro</w:t>
      </w:r>
      <w:r>
        <w:t xml:space="preserve"> (2024).</w:t>
      </w:r>
    </w:p>
    <w:p w14:paraId="1180B473" w14:textId="77777777" w:rsidR="006C08A6" w:rsidRDefault="00000000">
      <w:pPr>
        <w:spacing w:after="2322"/>
        <w:ind w:left="-5"/>
      </w:pPr>
      <w:r>
        <w:t>Last but not least, the scope of evaluation has expanded for general-purpose models. With task-specific models, evaluation involves measuring a model’s performance on its trained task. However, with general-purpose models, evaluation is not only about assessing a model’s performance on known tasks but also about discovering new tasks that the model can do, and these might include tasks that extend beyond human capabilities. Evaluation takes on the added responsibility of exploring the potential and limitations of AI.</w:t>
      </w:r>
    </w:p>
    <w:p w14:paraId="119748EB" w14:textId="77777777" w:rsidR="006C08A6" w:rsidRDefault="00000000">
      <w:pPr>
        <w:spacing w:after="405" w:line="259" w:lineRule="auto"/>
        <w:ind w:right="603"/>
        <w:jc w:val="right"/>
      </w:pPr>
      <w:r>
        <w:rPr>
          <w:rFonts w:ascii="Calibri" w:eastAsia="Calibri" w:hAnsi="Calibri" w:cs="Calibri"/>
          <w:b/>
          <w:sz w:val="18"/>
        </w:rPr>
        <w:lastRenderedPageBreak/>
        <w:t xml:space="preserve">Challenges of Evaluating Foundation Models </w:t>
      </w:r>
    </w:p>
    <w:p w14:paraId="73D50821" w14:textId="77777777" w:rsidR="006C08A6" w:rsidRDefault="00000000">
      <w:pPr>
        <w:spacing w:after="0"/>
        <w:ind w:left="-5"/>
      </w:pPr>
      <w:r>
        <w:t xml:space="preserve">The good news is that the new challenges of evaluation have prompted many new methods and benchmarks. </w:t>
      </w:r>
      <w:r>
        <w:rPr>
          <w:color w:val="990000"/>
        </w:rPr>
        <w:t>Figure 3-1</w:t>
      </w:r>
      <w:r>
        <w:t xml:space="preserve"> shows that the number of published papers on LLM evaluation grew exponentially every month in the first half of 2023, from 2 papers a month to almost 35 papers a month.</w:t>
      </w:r>
    </w:p>
    <w:p w14:paraId="4EA5D2FF" w14:textId="77777777" w:rsidR="006C08A6" w:rsidRDefault="00000000">
      <w:pPr>
        <w:spacing w:after="36" w:line="259" w:lineRule="auto"/>
        <w:ind w:left="1" w:right="-9" w:firstLine="0"/>
        <w:jc w:val="left"/>
      </w:pPr>
      <w:r>
        <w:rPr>
          <w:rFonts w:ascii="Calibri" w:eastAsia="Calibri" w:hAnsi="Calibri" w:cs="Calibri"/>
          <w:noProof/>
          <w:sz w:val="22"/>
        </w:rPr>
        <mc:AlternateContent>
          <mc:Choice Requires="wpg">
            <w:drawing>
              <wp:inline distT="0" distB="0" distL="0" distR="0" wp14:anchorId="20F0CF79" wp14:editId="51541818">
                <wp:extent cx="4576905" cy="2435097"/>
                <wp:effectExtent l="0" t="0" r="0" b="0"/>
                <wp:docPr id="32022" name="Group 32022"/>
                <wp:cNvGraphicFramePr/>
                <a:graphic xmlns:a="http://schemas.openxmlformats.org/drawingml/2006/main">
                  <a:graphicData uri="http://schemas.microsoft.com/office/word/2010/wordprocessingGroup">
                    <wpg:wgp>
                      <wpg:cNvGrpSpPr/>
                      <wpg:grpSpPr>
                        <a:xfrm>
                          <a:off x="0" y="0"/>
                          <a:ext cx="4576905" cy="2435097"/>
                          <a:chOff x="0" y="0"/>
                          <a:chExt cx="4576905" cy="2435097"/>
                        </a:xfrm>
                      </wpg:grpSpPr>
                      <wps:wsp>
                        <wps:cNvPr id="165" name="Shape 165"/>
                        <wps:cNvSpPr/>
                        <wps:spPr>
                          <a:xfrm>
                            <a:off x="0" y="865"/>
                            <a:ext cx="4576905" cy="0"/>
                          </a:xfrm>
                          <a:custGeom>
                            <a:avLst/>
                            <a:gdLst/>
                            <a:ahLst/>
                            <a:cxnLst/>
                            <a:rect l="0" t="0" r="0" b="0"/>
                            <a:pathLst>
                              <a:path w="4576905">
                                <a:moveTo>
                                  <a:pt x="4576905" y="0"/>
                                </a:moveTo>
                                <a:lnTo>
                                  <a:pt x="71"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67" name="Shape 167"/>
                        <wps:cNvSpPr/>
                        <wps:spPr>
                          <a:xfrm>
                            <a:off x="4576040" y="0"/>
                            <a:ext cx="0" cy="2435096"/>
                          </a:xfrm>
                          <a:custGeom>
                            <a:avLst/>
                            <a:gdLst/>
                            <a:ahLst/>
                            <a:cxnLst/>
                            <a:rect l="0" t="0" r="0" b="0"/>
                            <a:pathLst>
                              <a:path h="2435096">
                                <a:moveTo>
                                  <a:pt x="0" y="2435096"/>
                                </a:moveTo>
                                <a:lnTo>
                                  <a:pt x="0" y="71"/>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69" name="Shape 169"/>
                        <wps:cNvSpPr/>
                        <wps:spPr>
                          <a:xfrm>
                            <a:off x="0" y="2434232"/>
                            <a:ext cx="4576905" cy="0"/>
                          </a:xfrm>
                          <a:custGeom>
                            <a:avLst/>
                            <a:gdLst/>
                            <a:ahLst/>
                            <a:cxnLst/>
                            <a:rect l="0" t="0" r="0" b="0"/>
                            <a:pathLst>
                              <a:path w="4576905">
                                <a:moveTo>
                                  <a:pt x="4576905" y="0"/>
                                </a:moveTo>
                                <a:lnTo>
                                  <a:pt x="4576834"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71" name="Shape 171"/>
                        <wps:cNvSpPr/>
                        <wps:spPr>
                          <a:xfrm>
                            <a:off x="865" y="0"/>
                            <a:ext cx="0" cy="2435097"/>
                          </a:xfrm>
                          <a:custGeom>
                            <a:avLst/>
                            <a:gdLst/>
                            <a:ahLst/>
                            <a:cxnLst/>
                            <a:rect l="0" t="0" r="0" b="0"/>
                            <a:pathLst>
                              <a:path h="2435097">
                                <a:moveTo>
                                  <a:pt x="0" y="2435097"/>
                                </a:moveTo>
                                <a:lnTo>
                                  <a:pt x="0" y="2435026"/>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6" name="Picture 186"/>
                          <pic:cNvPicPr/>
                        </pic:nvPicPr>
                        <pic:blipFill>
                          <a:blip r:embed="rId7"/>
                          <a:stretch>
                            <a:fillRect/>
                          </a:stretch>
                        </pic:blipFill>
                        <pic:spPr>
                          <a:xfrm>
                            <a:off x="916868" y="65953"/>
                            <a:ext cx="2743168" cy="2293921"/>
                          </a:xfrm>
                          <a:prstGeom prst="rect">
                            <a:avLst/>
                          </a:prstGeom>
                        </pic:spPr>
                      </pic:pic>
                    </wpg:wgp>
                  </a:graphicData>
                </a:graphic>
              </wp:inline>
            </w:drawing>
          </mc:Choice>
          <mc:Fallback xmlns:a="http://schemas.openxmlformats.org/drawingml/2006/main">
            <w:pict>
              <v:group id="Group 32022" style="width:360.386pt;height:191.74pt;mso-position-horizontal-relative:char;mso-position-vertical-relative:line" coordsize="45769,24350">
                <v:shape id="Shape 165" style="position:absolute;width:45769;height:0;left:0;top:8;" coordsize="4576905,0" path="m4576905,0l71,0l0,0">
                  <v:stroke weight="0.25pt" endcap="round" joinstyle="miter" miterlimit="10" on="true" color="#000000"/>
                  <v:fill on="false" color="#000000" opacity="0"/>
                </v:shape>
                <v:shape id="Shape 167" style="position:absolute;width:0;height:24350;left:45760;top:0;" coordsize="0,2435096" path="m0,2435096l0,71l0,0">
                  <v:stroke weight="0.25pt" endcap="round" joinstyle="miter" miterlimit="10" on="true" color="#000000"/>
                  <v:fill on="false" color="#000000" opacity="0"/>
                </v:shape>
                <v:shape id="Shape 169" style="position:absolute;width:45769;height:0;left:0;top:24342;" coordsize="4576905,0" path="m4576905,0l4576834,0l0,0">
                  <v:stroke weight="0.25pt" endcap="round" joinstyle="miter" miterlimit="10" on="true" color="#000000"/>
                  <v:fill on="false" color="#000000" opacity="0"/>
                </v:shape>
                <v:shape id="Shape 171" style="position:absolute;width:0;height:24350;left:8;top:0;" coordsize="0,2435097" path="m0,2435097l0,2435026l0,0">
                  <v:stroke weight="0.25pt" endcap="round" joinstyle="miter" miterlimit="10" on="true" color="#000000"/>
                  <v:fill on="false" color="#000000" opacity="0"/>
                </v:shape>
                <v:shape id="Picture 186" style="position:absolute;width:27431;height:22939;left:9168;top:659;" filled="f">
                  <v:imagedata r:id="rId46"/>
                </v:shape>
              </v:group>
            </w:pict>
          </mc:Fallback>
        </mc:AlternateContent>
      </w:r>
    </w:p>
    <w:p w14:paraId="4A9C67F6" w14:textId="77777777" w:rsidR="006C08A6" w:rsidRDefault="00000000">
      <w:pPr>
        <w:spacing w:after="235" w:line="254" w:lineRule="auto"/>
        <w:ind w:left="-5"/>
        <w:jc w:val="left"/>
      </w:pPr>
      <w:r>
        <w:rPr>
          <w:i/>
        </w:rPr>
        <w:t xml:space="preserve">Figure 3-1. The trend of LLMs evaluation papers over time. Image from </w:t>
      </w:r>
      <w:r>
        <w:rPr>
          <w:i/>
          <w:color w:val="990000"/>
        </w:rPr>
        <w:t>Chang et al. (2023)</w:t>
      </w:r>
      <w:r>
        <w:rPr>
          <w:i/>
        </w:rPr>
        <w:t>.</w:t>
      </w:r>
    </w:p>
    <w:p w14:paraId="6D4D34B6" w14:textId="77777777" w:rsidR="006C08A6" w:rsidRDefault="00000000">
      <w:pPr>
        <w:ind w:left="-5"/>
      </w:pPr>
      <w:r>
        <w:t xml:space="preserve">In my own analysis of the </w:t>
      </w:r>
      <w:r>
        <w:rPr>
          <w:color w:val="990000"/>
        </w:rPr>
        <w:t>top 1,000 AI-related repositories on GitHub</w:t>
      </w:r>
      <w:r>
        <w:t>, as ranked by the number of stars, I found over 50 repositories dedicated to evaluation (as of May 2024).</w:t>
      </w:r>
      <w:r>
        <w:rPr>
          <w:sz w:val="18"/>
          <w:vertAlign w:val="superscript"/>
        </w:rPr>
        <w:footnoteReference w:id="5"/>
      </w:r>
      <w:r>
        <w:t xml:space="preserve"> When plotting the number of evaluation repositories by their creation date, the growth curve looks exponential, as shown in </w:t>
      </w:r>
      <w:r>
        <w:rPr>
          <w:color w:val="990000"/>
        </w:rPr>
        <w:t>Figure 3-2</w:t>
      </w:r>
      <w:r>
        <w:t>.</w:t>
      </w:r>
    </w:p>
    <w:p w14:paraId="45EC1CFB" w14:textId="77777777" w:rsidR="006C08A6" w:rsidRDefault="00000000">
      <w:pPr>
        <w:ind w:left="-5"/>
      </w:pPr>
      <w:r>
        <w:t xml:space="preserve">The bad news is that despite the increased interest in evaluation, it lags behind in terms of interest in the rest of the AI engineering pipeline. </w:t>
      </w:r>
      <w:r>
        <w:rPr>
          <w:color w:val="990000"/>
        </w:rPr>
        <w:t>Balduzzi et al. from DeepMind</w:t>
      </w:r>
      <w:r>
        <w:t xml:space="preserve"> noted in their paper that “developing evaluations has received little systematic attention compared to developing algorithms.” According to the paper, experiment results are almost exclusively used to improve algorithms and are rarely used to improve evaluation. Recognizing the lack of investments in evaluation, </w:t>
      </w:r>
      <w:r>
        <w:rPr>
          <w:color w:val="990000"/>
        </w:rPr>
        <w:t xml:space="preserve">Anthropic </w:t>
      </w:r>
      <w:r>
        <w:t>called on policymakers to increase government funding and grants both for developing new evaluation methodologies and analyzing the robustness of existing evaluations.</w:t>
      </w:r>
    </w:p>
    <w:p w14:paraId="0E20B48F" w14:textId="77777777" w:rsidR="006C08A6" w:rsidRDefault="00000000">
      <w:pPr>
        <w:spacing w:after="36" w:line="259" w:lineRule="auto"/>
        <w:ind w:left="1" w:right="-9" w:firstLine="0"/>
        <w:jc w:val="left"/>
      </w:pPr>
      <w:r>
        <w:rPr>
          <w:rFonts w:ascii="Calibri" w:eastAsia="Calibri" w:hAnsi="Calibri" w:cs="Calibri"/>
          <w:noProof/>
          <w:sz w:val="22"/>
        </w:rPr>
        <w:lastRenderedPageBreak/>
        <mc:AlternateContent>
          <mc:Choice Requires="wpg">
            <w:drawing>
              <wp:inline distT="0" distB="0" distL="0" distR="0" wp14:anchorId="222D20F8" wp14:editId="3856922D">
                <wp:extent cx="4576905" cy="2620320"/>
                <wp:effectExtent l="0" t="0" r="0" b="0"/>
                <wp:docPr id="31891" name="Group 31891"/>
                <wp:cNvGraphicFramePr/>
                <a:graphic xmlns:a="http://schemas.openxmlformats.org/drawingml/2006/main">
                  <a:graphicData uri="http://schemas.microsoft.com/office/word/2010/wordprocessingGroup">
                    <wpg:wgp>
                      <wpg:cNvGrpSpPr/>
                      <wpg:grpSpPr>
                        <a:xfrm>
                          <a:off x="0" y="0"/>
                          <a:ext cx="4576905" cy="2620320"/>
                          <a:chOff x="0" y="0"/>
                          <a:chExt cx="4576905" cy="2620320"/>
                        </a:xfrm>
                      </wpg:grpSpPr>
                      <wps:wsp>
                        <wps:cNvPr id="221" name="Shape 221"/>
                        <wps:cNvSpPr/>
                        <wps:spPr>
                          <a:xfrm>
                            <a:off x="0" y="865"/>
                            <a:ext cx="4576905" cy="0"/>
                          </a:xfrm>
                          <a:custGeom>
                            <a:avLst/>
                            <a:gdLst/>
                            <a:ahLst/>
                            <a:cxnLst/>
                            <a:rect l="0" t="0" r="0" b="0"/>
                            <a:pathLst>
                              <a:path w="4576905">
                                <a:moveTo>
                                  <a:pt x="4576905" y="0"/>
                                </a:moveTo>
                                <a:lnTo>
                                  <a:pt x="71"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23" name="Shape 223"/>
                        <wps:cNvSpPr/>
                        <wps:spPr>
                          <a:xfrm>
                            <a:off x="4576040" y="0"/>
                            <a:ext cx="0" cy="2620320"/>
                          </a:xfrm>
                          <a:custGeom>
                            <a:avLst/>
                            <a:gdLst/>
                            <a:ahLst/>
                            <a:cxnLst/>
                            <a:rect l="0" t="0" r="0" b="0"/>
                            <a:pathLst>
                              <a:path h="2620320">
                                <a:moveTo>
                                  <a:pt x="0" y="2620320"/>
                                </a:moveTo>
                                <a:lnTo>
                                  <a:pt x="0" y="71"/>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25" name="Shape 225"/>
                        <wps:cNvSpPr/>
                        <wps:spPr>
                          <a:xfrm>
                            <a:off x="0" y="2619455"/>
                            <a:ext cx="4576905" cy="0"/>
                          </a:xfrm>
                          <a:custGeom>
                            <a:avLst/>
                            <a:gdLst/>
                            <a:ahLst/>
                            <a:cxnLst/>
                            <a:rect l="0" t="0" r="0" b="0"/>
                            <a:pathLst>
                              <a:path w="4576905">
                                <a:moveTo>
                                  <a:pt x="4576905" y="0"/>
                                </a:moveTo>
                                <a:lnTo>
                                  <a:pt x="4576834"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27" name="Shape 227"/>
                        <wps:cNvSpPr/>
                        <wps:spPr>
                          <a:xfrm>
                            <a:off x="865" y="0"/>
                            <a:ext cx="0" cy="2620320"/>
                          </a:xfrm>
                          <a:custGeom>
                            <a:avLst/>
                            <a:gdLst/>
                            <a:ahLst/>
                            <a:cxnLst/>
                            <a:rect l="0" t="0" r="0" b="0"/>
                            <a:pathLst>
                              <a:path h="2620320">
                                <a:moveTo>
                                  <a:pt x="0" y="2620320"/>
                                </a:moveTo>
                                <a:lnTo>
                                  <a:pt x="0" y="2620249"/>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9" name="Picture 229"/>
                          <pic:cNvPicPr/>
                        </pic:nvPicPr>
                        <pic:blipFill>
                          <a:blip r:embed="rId47"/>
                          <a:stretch>
                            <a:fillRect/>
                          </a:stretch>
                        </pic:blipFill>
                        <pic:spPr>
                          <a:xfrm>
                            <a:off x="93892" y="65952"/>
                            <a:ext cx="4389120" cy="2479145"/>
                          </a:xfrm>
                          <a:prstGeom prst="rect">
                            <a:avLst/>
                          </a:prstGeom>
                        </pic:spPr>
                      </pic:pic>
                    </wpg:wgp>
                  </a:graphicData>
                </a:graphic>
              </wp:inline>
            </w:drawing>
          </mc:Choice>
          <mc:Fallback xmlns:a="http://schemas.openxmlformats.org/drawingml/2006/main">
            <w:pict>
              <v:group id="Group 31891" style="width:360.386pt;height:206.324pt;mso-position-horizontal-relative:char;mso-position-vertical-relative:line" coordsize="45769,26203">
                <v:shape id="Shape 221" style="position:absolute;width:45769;height:0;left:0;top:8;" coordsize="4576905,0" path="m4576905,0l71,0l0,0">
                  <v:stroke weight="0.25pt" endcap="round" joinstyle="miter" miterlimit="10" on="true" color="#000000"/>
                  <v:fill on="false" color="#000000" opacity="0"/>
                </v:shape>
                <v:shape id="Shape 223" style="position:absolute;width:0;height:26203;left:45760;top:0;" coordsize="0,2620320" path="m0,2620320l0,71l0,0">
                  <v:stroke weight="0.25pt" endcap="round" joinstyle="miter" miterlimit="10" on="true" color="#000000"/>
                  <v:fill on="false" color="#000000" opacity="0"/>
                </v:shape>
                <v:shape id="Shape 225" style="position:absolute;width:45769;height:0;left:0;top:26194;" coordsize="4576905,0" path="m4576905,0l4576834,0l0,0">
                  <v:stroke weight="0.25pt" endcap="round" joinstyle="miter" miterlimit="10" on="true" color="#000000"/>
                  <v:fill on="false" color="#000000" opacity="0"/>
                </v:shape>
                <v:shape id="Shape 227" style="position:absolute;width:0;height:26203;left:8;top:0;" coordsize="0,2620320" path="m0,2620320l0,2620249l0,0">
                  <v:stroke weight="0.25pt" endcap="round" joinstyle="miter" miterlimit="10" on="true" color="#000000"/>
                  <v:fill on="false" color="#000000" opacity="0"/>
                </v:shape>
                <v:shape id="Picture 229" style="position:absolute;width:43891;height:24791;left:938;top:659;" filled="f">
                  <v:imagedata r:id="rId48"/>
                </v:shape>
              </v:group>
            </w:pict>
          </mc:Fallback>
        </mc:AlternateContent>
      </w:r>
    </w:p>
    <w:p w14:paraId="17BB9098" w14:textId="77777777" w:rsidR="006C08A6" w:rsidRDefault="00000000">
      <w:pPr>
        <w:spacing w:after="235" w:line="254" w:lineRule="auto"/>
        <w:ind w:left="-5"/>
        <w:jc w:val="left"/>
      </w:pPr>
      <w:r>
        <w:rPr>
          <w:i/>
        </w:rPr>
        <w:t>Figure 3-2. Number of open source evaluation repositories among the 1,000 most popular AI repositories on GitHub.</w:t>
      </w:r>
    </w:p>
    <w:p w14:paraId="11A6C501" w14:textId="77777777" w:rsidR="006C08A6" w:rsidRDefault="00000000">
      <w:pPr>
        <w:spacing w:after="3280"/>
        <w:ind w:left="-5"/>
      </w:pPr>
      <w:r>
        <w:t xml:space="preserve">To further demonstrate how the investment in evaluation lags behind other areas in the AI space, the number of tools for evaluation is small compared to the number of tools for modeling and training and AI orchestration, as shown in </w:t>
      </w:r>
      <w:r>
        <w:rPr>
          <w:color w:val="990000"/>
        </w:rPr>
        <w:t>Figure 3-3</w:t>
      </w:r>
      <w:r>
        <w:t>. Inadequate investment leads to inadequate infrastructure, making it hard for people to carry out systematic evaluations. When asked how they are evaluating their AI applications, many people told me that they just eyeballed the results. Many have a small set of go-to prompts that they use to evaluate models. The process of curating these prompts is ad hoc, usually based on the curator’s personal experience instead of based on the application’s needs. You might be able to get away with this ad hoc approach when getting a project off the ground, but it won’t be sufficient for application iteration. This book focuses on a systematic approach to evaluation.</w:t>
      </w:r>
    </w:p>
    <w:p w14:paraId="45E06A2A" w14:textId="77777777" w:rsidR="006C08A6" w:rsidRDefault="00000000">
      <w:pPr>
        <w:spacing w:after="405" w:line="259" w:lineRule="auto"/>
        <w:ind w:right="603"/>
        <w:jc w:val="right"/>
      </w:pPr>
      <w:r>
        <w:rPr>
          <w:rFonts w:ascii="Calibri" w:eastAsia="Calibri" w:hAnsi="Calibri" w:cs="Calibri"/>
          <w:b/>
          <w:sz w:val="18"/>
        </w:rPr>
        <w:lastRenderedPageBreak/>
        <w:t xml:space="preserve">Challenges of Evaluating Foundation Models </w:t>
      </w:r>
    </w:p>
    <w:p w14:paraId="4D55ACF1" w14:textId="77777777" w:rsidR="006C08A6" w:rsidRDefault="00000000">
      <w:pPr>
        <w:spacing w:after="36" w:line="259" w:lineRule="auto"/>
        <w:ind w:left="1" w:right="-9" w:firstLine="0"/>
        <w:jc w:val="left"/>
      </w:pPr>
      <w:r>
        <w:rPr>
          <w:rFonts w:ascii="Calibri" w:eastAsia="Calibri" w:hAnsi="Calibri" w:cs="Calibri"/>
          <w:noProof/>
          <w:sz w:val="22"/>
        </w:rPr>
        <mc:AlternateContent>
          <mc:Choice Requires="wpg">
            <w:drawing>
              <wp:inline distT="0" distB="0" distL="0" distR="0" wp14:anchorId="6C329825" wp14:editId="6C03AE70">
                <wp:extent cx="4576905" cy="2811341"/>
                <wp:effectExtent l="0" t="0" r="0" b="0"/>
                <wp:docPr id="31994" name="Group 31994"/>
                <wp:cNvGraphicFramePr/>
                <a:graphic xmlns:a="http://schemas.openxmlformats.org/drawingml/2006/main">
                  <a:graphicData uri="http://schemas.microsoft.com/office/word/2010/wordprocessingGroup">
                    <wpg:wgp>
                      <wpg:cNvGrpSpPr/>
                      <wpg:grpSpPr>
                        <a:xfrm>
                          <a:off x="0" y="0"/>
                          <a:ext cx="4576905" cy="2811341"/>
                          <a:chOff x="0" y="0"/>
                          <a:chExt cx="4576905" cy="2811341"/>
                        </a:xfrm>
                      </wpg:grpSpPr>
                      <wps:wsp>
                        <wps:cNvPr id="251" name="Shape 251"/>
                        <wps:cNvSpPr/>
                        <wps:spPr>
                          <a:xfrm>
                            <a:off x="0" y="865"/>
                            <a:ext cx="4576905" cy="0"/>
                          </a:xfrm>
                          <a:custGeom>
                            <a:avLst/>
                            <a:gdLst/>
                            <a:ahLst/>
                            <a:cxnLst/>
                            <a:rect l="0" t="0" r="0" b="0"/>
                            <a:pathLst>
                              <a:path w="4576905">
                                <a:moveTo>
                                  <a:pt x="4576905" y="0"/>
                                </a:moveTo>
                                <a:lnTo>
                                  <a:pt x="71"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53" name="Shape 253"/>
                        <wps:cNvSpPr/>
                        <wps:spPr>
                          <a:xfrm>
                            <a:off x="4576040" y="0"/>
                            <a:ext cx="0" cy="2811341"/>
                          </a:xfrm>
                          <a:custGeom>
                            <a:avLst/>
                            <a:gdLst/>
                            <a:ahLst/>
                            <a:cxnLst/>
                            <a:rect l="0" t="0" r="0" b="0"/>
                            <a:pathLst>
                              <a:path h="2811341">
                                <a:moveTo>
                                  <a:pt x="0" y="2811341"/>
                                </a:moveTo>
                                <a:lnTo>
                                  <a:pt x="0" y="71"/>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55" name="Shape 255"/>
                        <wps:cNvSpPr/>
                        <wps:spPr>
                          <a:xfrm>
                            <a:off x="0" y="2810476"/>
                            <a:ext cx="4576905" cy="0"/>
                          </a:xfrm>
                          <a:custGeom>
                            <a:avLst/>
                            <a:gdLst/>
                            <a:ahLst/>
                            <a:cxnLst/>
                            <a:rect l="0" t="0" r="0" b="0"/>
                            <a:pathLst>
                              <a:path w="4576905">
                                <a:moveTo>
                                  <a:pt x="4576905" y="0"/>
                                </a:moveTo>
                                <a:lnTo>
                                  <a:pt x="4576834"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57" name="Shape 257"/>
                        <wps:cNvSpPr/>
                        <wps:spPr>
                          <a:xfrm>
                            <a:off x="865" y="0"/>
                            <a:ext cx="0" cy="2811341"/>
                          </a:xfrm>
                          <a:custGeom>
                            <a:avLst/>
                            <a:gdLst/>
                            <a:ahLst/>
                            <a:cxnLst/>
                            <a:rect l="0" t="0" r="0" b="0"/>
                            <a:pathLst>
                              <a:path h="2811341">
                                <a:moveTo>
                                  <a:pt x="0" y="2811341"/>
                                </a:moveTo>
                                <a:lnTo>
                                  <a:pt x="0" y="281127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4" name="Picture 264"/>
                          <pic:cNvPicPr/>
                        </pic:nvPicPr>
                        <pic:blipFill>
                          <a:blip r:embed="rId49"/>
                          <a:stretch>
                            <a:fillRect/>
                          </a:stretch>
                        </pic:blipFill>
                        <pic:spPr>
                          <a:xfrm>
                            <a:off x="93892" y="65952"/>
                            <a:ext cx="4389120" cy="2670166"/>
                          </a:xfrm>
                          <a:prstGeom prst="rect">
                            <a:avLst/>
                          </a:prstGeom>
                        </pic:spPr>
                      </pic:pic>
                    </wpg:wgp>
                  </a:graphicData>
                </a:graphic>
              </wp:inline>
            </w:drawing>
          </mc:Choice>
          <mc:Fallback xmlns:a="http://schemas.openxmlformats.org/drawingml/2006/main">
            <w:pict>
              <v:group id="Group 31994" style="width:360.386pt;height:221.365pt;mso-position-horizontal-relative:char;mso-position-vertical-relative:line" coordsize="45769,28113">
                <v:shape id="Shape 251" style="position:absolute;width:45769;height:0;left:0;top:8;" coordsize="4576905,0" path="m4576905,0l71,0l0,0">
                  <v:stroke weight="0.25pt" endcap="round" joinstyle="miter" miterlimit="10" on="true" color="#000000"/>
                  <v:fill on="false" color="#000000" opacity="0"/>
                </v:shape>
                <v:shape id="Shape 253" style="position:absolute;width:0;height:28113;left:45760;top:0;" coordsize="0,2811341" path="m0,2811341l0,71l0,0">
                  <v:stroke weight="0.25pt" endcap="round" joinstyle="miter" miterlimit="10" on="true" color="#000000"/>
                  <v:fill on="false" color="#000000" opacity="0"/>
                </v:shape>
                <v:shape id="Shape 255" style="position:absolute;width:45769;height:0;left:0;top:28104;" coordsize="4576905,0" path="m4576905,0l4576834,0l0,0">
                  <v:stroke weight="0.25pt" endcap="round" joinstyle="miter" miterlimit="10" on="true" color="#000000"/>
                  <v:fill on="false" color="#000000" opacity="0"/>
                </v:shape>
                <v:shape id="Shape 257" style="position:absolute;width:0;height:28113;left:8;top:0;" coordsize="0,2811341" path="m0,2811341l0,2811270l0,0">
                  <v:stroke weight="0.25pt" endcap="round" joinstyle="miter" miterlimit="10" on="true" color="#000000"/>
                  <v:fill on="false" color="#000000" opacity="0"/>
                </v:shape>
                <v:shape id="Picture 264" style="position:absolute;width:43891;height:26701;left:938;top:659;" filled="f">
                  <v:imagedata r:id="rId50"/>
                </v:shape>
              </v:group>
            </w:pict>
          </mc:Fallback>
        </mc:AlternateContent>
      </w:r>
    </w:p>
    <w:p w14:paraId="6AD871AA" w14:textId="77777777" w:rsidR="006C08A6" w:rsidRDefault="00000000">
      <w:pPr>
        <w:spacing w:after="350" w:line="254" w:lineRule="auto"/>
        <w:ind w:left="-5"/>
        <w:jc w:val="left"/>
      </w:pPr>
      <w:r>
        <w:rPr>
          <w:i/>
        </w:rPr>
        <w:t>Figure 3-3. According to data sourced from my list of the 1,000 most popular AI repositories on GitHub, evaluation lags behind other aspects of AI engineering in terms of open source tools.</w:t>
      </w:r>
    </w:p>
    <w:p w14:paraId="0C8D77FA" w14:textId="77777777" w:rsidR="006C08A6" w:rsidRDefault="00000000">
      <w:pPr>
        <w:pStyle w:val="Heading1"/>
        <w:ind w:left="-5"/>
      </w:pPr>
      <w:r>
        <w:t>Understanding Language Modeling Metrics</w:t>
      </w:r>
    </w:p>
    <w:p w14:paraId="2A4076FB" w14:textId="77777777" w:rsidR="006C08A6" w:rsidRDefault="00000000">
      <w:pPr>
        <w:spacing w:after="155"/>
        <w:ind w:left="-5"/>
      </w:pPr>
      <w:r>
        <w:t>Foundation models evolved out of language models. Many foundation models still have language models as their main components. For these models, the performance of the language model component tends to be well correlated to the foundation model’s performance on downstream applications (</w:t>
      </w:r>
      <w:r>
        <w:rPr>
          <w:color w:val="990000"/>
        </w:rPr>
        <w:t>Liu et al., 2023</w:t>
      </w:r>
      <w:r>
        <w:t>). Therefore, a rough understanding of language modeling metrics can be quite helpful in understanding downstream performance.</w:t>
      </w:r>
      <w:r>
        <w:rPr>
          <w:sz w:val="18"/>
          <w:vertAlign w:val="superscript"/>
        </w:rPr>
        <w:footnoteReference w:id="6"/>
      </w:r>
    </w:p>
    <w:p w14:paraId="062147C4" w14:textId="77777777" w:rsidR="006C08A6" w:rsidRDefault="00000000">
      <w:pPr>
        <w:ind w:left="-5"/>
      </w:pPr>
      <w:r>
        <w:t xml:space="preserve">As discussed in </w:t>
      </w:r>
      <w:r>
        <w:rPr>
          <w:color w:val="990000"/>
        </w:rPr>
        <w:t>Chapter 1</w:t>
      </w:r>
      <w:r>
        <w:t>, language modeling has been around for decades, popularized by Claude Shannon in his 1951 paper “Prediction and Entropy of Printed English”. The metrics used to guide the development of language models haven’t changed much since then. Most autoregressive language models are trained using cross entropy or its relative, perplexity. When reading papers and model reports, you might also come across bits-per-character (BPC) and bits-per-byte (BPB); both are variations of cross entropy.</w:t>
      </w:r>
    </w:p>
    <w:p w14:paraId="45CACFBE" w14:textId="77777777" w:rsidR="006C08A6" w:rsidRDefault="006C08A6">
      <w:pPr>
        <w:sectPr w:rsidR="006C08A6">
          <w:footerReference w:type="even" r:id="rId51"/>
          <w:footerReference w:type="default" r:id="rId52"/>
          <w:footerReference w:type="first" r:id="rId53"/>
          <w:pgSz w:w="10080" w:h="13230"/>
          <w:pgMar w:top="1046" w:right="1440" w:bottom="810" w:left="1440" w:header="720" w:footer="810" w:gutter="0"/>
          <w:pgNumType w:start="113"/>
          <w:cols w:space="720"/>
          <w:titlePg/>
        </w:sectPr>
      </w:pPr>
    </w:p>
    <w:p w14:paraId="109085F1" w14:textId="77777777" w:rsidR="006C08A6" w:rsidRDefault="00000000">
      <w:pPr>
        <w:ind w:left="-5"/>
      </w:pPr>
      <w:r>
        <w:lastRenderedPageBreak/>
        <w:t>All four metrics—cross entropy, perplexity, BPC, and BPB—are closely related. If you know the value of one, you can compute the other three, given the necessary information. While I refer to them as language modeling metrics, they can be used for any model that generates sequences of tokens, including non-text tokens.</w:t>
      </w:r>
    </w:p>
    <w:p w14:paraId="136F20D5" w14:textId="77777777" w:rsidR="006C08A6" w:rsidRDefault="00000000">
      <w:pPr>
        <w:ind w:left="-5"/>
      </w:pPr>
      <w:r>
        <w:t>Recall that a language model encodes statistical information (how likely a token is to appear in a given context) about languages. Statistically, given the context “I like drinking __”, the next word is more likely to be “tea” than “charcoal”. The more statistical information that a model can capture, the better it is at predicting the next token.</w:t>
      </w:r>
    </w:p>
    <w:p w14:paraId="294B3A49" w14:textId="77777777" w:rsidR="006C08A6" w:rsidRDefault="00000000">
      <w:pPr>
        <w:ind w:left="-5"/>
      </w:pPr>
      <w:r>
        <w:t>In ML lingo, a language model learns the distribution of its training data. The better this model learns, the better it is at predicting what comes next in the training data, and the lower its training cross entropy. As with any ML model, you care about its performance not just on the training data but also on your production data. In general, the closer your data is to a model’s training data, the better the model can perform on your data.</w:t>
      </w:r>
    </w:p>
    <w:p w14:paraId="4607D11F" w14:textId="77777777" w:rsidR="006C08A6" w:rsidRDefault="00000000">
      <w:pPr>
        <w:spacing w:after="289"/>
        <w:ind w:left="-5"/>
      </w:pPr>
      <w:r>
        <w:t>Compared to the rest of the book, this section is math-heavy. If you find it confusing, feel free to skip the math part and focus on the discussion of how to interpret these metrics. Even if you’re not training or finetuning language models, understanding these metrics can help with evaluating which models to use for your application. These metrics can occasionally be used for certain evaluation and data deduplication techniques, as discussed throughout this book.</w:t>
      </w:r>
    </w:p>
    <w:p w14:paraId="34EE5A7E" w14:textId="77777777" w:rsidR="006C08A6" w:rsidRDefault="00000000">
      <w:pPr>
        <w:pStyle w:val="Heading2"/>
        <w:ind w:left="-5"/>
      </w:pPr>
      <w:r>
        <w:t>Entropy</w:t>
      </w:r>
    </w:p>
    <w:p w14:paraId="37127182" w14:textId="77777777" w:rsidR="006C08A6" w:rsidRDefault="00000000">
      <w:pPr>
        <w:spacing w:after="158"/>
        <w:ind w:left="-5"/>
      </w:pPr>
      <w:r>
        <w:rPr>
          <w:i/>
        </w:rPr>
        <w:t>Entropy</w:t>
      </w:r>
      <w:r>
        <w:t xml:space="preserve"> measures how much information, on average, a token carries. The higher the entropy, the more information each token carries, and the more bits are needed to represent a token.</w:t>
      </w:r>
      <w:r>
        <w:rPr>
          <w:sz w:val="18"/>
          <w:vertAlign w:val="superscript"/>
        </w:rPr>
        <w:footnoteReference w:id="7"/>
      </w:r>
    </w:p>
    <w:p w14:paraId="59996AFB" w14:textId="77777777" w:rsidR="006C08A6" w:rsidRDefault="00000000">
      <w:pPr>
        <w:ind w:left="-5"/>
      </w:pPr>
      <w:r>
        <w:t xml:space="preserve">Let’s use a simple example to illustrate this. Imagine you want to create a language to describe positions within a square, as shown in </w:t>
      </w:r>
      <w:r>
        <w:rPr>
          <w:color w:val="990000"/>
        </w:rPr>
        <w:t>Figure 3-4</w:t>
      </w:r>
      <w:r>
        <w:t xml:space="preserve">. If your language has only two tokens, shown as (a) in </w:t>
      </w:r>
      <w:r>
        <w:rPr>
          <w:color w:val="990000"/>
        </w:rPr>
        <w:t>Figure 3-4</w:t>
      </w:r>
      <w:r>
        <w:t>, each token can tell you whether the position is upper or lower. Since there are only two tokens, one bit is sufficient to represent them. The entropy of this language is, therefore, 1.</w:t>
      </w:r>
    </w:p>
    <w:p w14:paraId="6DAA0875" w14:textId="77777777" w:rsidR="006C08A6" w:rsidRDefault="00000000">
      <w:pPr>
        <w:spacing w:after="36" w:line="259" w:lineRule="auto"/>
        <w:ind w:left="1" w:right="-9" w:firstLine="0"/>
        <w:jc w:val="left"/>
      </w:pPr>
      <w:r>
        <w:rPr>
          <w:rFonts w:ascii="Calibri" w:eastAsia="Calibri" w:hAnsi="Calibri" w:cs="Calibri"/>
          <w:noProof/>
          <w:sz w:val="22"/>
        </w:rPr>
        <w:lastRenderedPageBreak/>
        <mc:AlternateContent>
          <mc:Choice Requires="wpg">
            <w:drawing>
              <wp:inline distT="0" distB="0" distL="0" distR="0" wp14:anchorId="6447E736" wp14:editId="357DEB71">
                <wp:extent cx="4576905" cy="945849"/>
                <wp:effectExtent l="0" t="0" r="0" b="0"/>
                <wp:docPr id="32599" name="Group 32599"/>
                <wp:cNvGraphicFramePr/>
                <a:graphic xmlns:a="http://schemas.openxmlformats.org/drawingml/2006/main">
                  <a:graphicData uri="http://schemas.microsoft.com/office/word/2010/wordprocessingGroup">
                    <wpg:wgp>
                      <wpg:cNvGrpSpPr/>
                      <wpg:grpSpPr>
                        <a:xfrm>
                          <a:off x="0" y="0"/>
                          <a:ext cx="4576905" cy="945849"/>
                          <a:chOff x="0" y="0"/>
                          <a:chExt cx="4576905" cy="945849"/>
                        </a:xfrm>
                      </wpg:grpSpPr>
                      <wps:wsp>
                        <wps:cNvPr id="355" name="Shape 355"/>
                        <wps:cNvSpPr/>
                        <wps:spPr>
                          <a:xfrm>
                            <a:off x="0" y="865"/>
                            <a:ext cx="4576905" cy="0"/>
                          </a:xfrm>
                          <a:custGeom>
                            <a:avLst/>
                            <a:gdLst/>
                            <a:ahLst/>
                            <a:cxnLst/>
                            <a:rect l="0" t="0" r="0" b="0"/>
                            <a:pathLst>
                              <a:path w="4576905">
                                <a:moveTo>
                                  <a:pt x="4576905" y="0"/>
                                </a:moveTo>
                                <a:lnTo>
                                  <a:pt x="71"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357" name="Shape 357"/>
                        <wps:cNvSpPr/>
                        <wps:spPr>
                          <a:xfrm>
                            <a:off x="4576040" y="0"/>
                            <a:ext cx="0" cy="945849"/>
                          </a:xfrm>
                          <a:custGeom>
                            <a:avLst/>
                            <a:gdLst/>
                            <a:ahLst/>
                            <a:cxnLst/>
                            <a:rect l="0" t="0" r="0" b="0"/>
                            <a:pathLst>
                              <a:path h="945849">
                                <a:moveTo>
                                  <a:pt x="0" y="945849"/>
                                </a:moveTo>
                                <a:lnTo>
                                  <a:pt x="0" y="71"/>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359" name="Shape 359"/>
                        <wps:cNvSpPr/>
                        <wps:spPr>
                          <a:xfrm>
                            <a:off x="0" y="944984"/>
                            <a:ext cx="4576905" cy="0"/>
                          </a:xfrm>
                          <a:custGeom>
                            <a:avLst/>
                            <a:gdLst/>
                            <a:ahLst/>
                            <a:cxnLst/>
                            <a:rect l="0" t="0" r="0" b="0"/>
                            <a:pathLst>
                              <a:path w="4576905">
                                <a:moveTo>
                                  <a:pt x="4576905" y="0"/>
                                </a:moveTo>
                                <a:lnTo>
                                  <a:pt x="4576834"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361" name="Shape 361"/>
                        <wps:cNvSpPr/>
                        <wps:spPr>
                          <a:xfrm>
                            <a:off x="865" y="0"/>
                            <a:ext cx="0" cy="945849"/>
                          </a:xfrm>
                          <a:custGeom>
                            <a:avLst/>
                            <a:gdLst/>
                            <a:ahLst/>
                            <a:cxnLst/>
                            <a:rect l="0" t="0" r="0" b="0"/>
                            <a:pathLst>
                              <a:path h="945849">
                                <a:moveTo>
                                  <a:pt x="0" y="945849"/>
                                </a:moveTo>
                                <a:lnTo>
                                  <a:pt x="0" y="945778"/>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3" name="Picture 363"/>
                          <pic:cNvPicPr/>
                        </pic:nvPicPr>
                        <pic:blipFill>
                          <a:blip r:embed="rId54"/>
                          <a:stretch>
                            <a:fillRect/>
                          </a:stretch>
                        </pic:blipFill>
                        <pic:spPr>
                          <a:xfrm>
                            <a:off x="1575219" y="65952"/>
                            <a:ext cx="1426467" cy="804674"/>
                          </a:xfrm>
                          <a:prstGeom prst="rect">
                            <a:avLst/>
                          </a:prstGeom>
                        </pic:spPr>
                      </pic:pic>
                    </wpg:wgp>
                  </a:graphicData>
                </a:graphic>
              </wp:inline>
            </w:drawing>
          </mc:Choice>
          <mc:Fallback xmlns:a="http://schemas.openxmlformats.org/drawingml/2006/main">
            <w:pict>
              <v:group id="Group 32599" style="width:360.386pt;height:74.4763pt;mso-position-horizontal-relative:char;mso-position-vertical-relative:line" coordsize="45769,9458">
                <v:shape id="Shape 355" style="position:absolute;width:45769;height:0;left:0;top:8;" coordsize="4576905,0" path="m4576905,0l71,0l0,0">
                  <v:stroke weight="0.25pt" endcap="round" joinstyle="miter" miterlimit="10" on="true" color="#000000"/>
                  <v:fill on="false" color="#000000" opacity="0"/>
                </v:shape>
                <v:shape id="Shape 357" style="position:absolute;width:0;height:9458;left:45760;top:0;" coordsize="0,945849" path="m0,945849l0,71l0,0">
                  <v:stroke weight="0.25pt" endcap="round" joinstyle="miter" miterlimit="10" on="true" color="#000000"/>
                  <v:fill on="false" color="#000000" opacity="0"/>
                </v:shape>
                <v:shape id="Shape 359" style="position:absolute;width:45769;height:0;left:0;top:9449;" coordsize="4576905,0" path="m4576905,0l4576834,0l0,0">
                  <v:stroke weight="0.25pt" endcap="round" joinstyle="miter" miterlimit="10" on="true" color="#000000"/>
                  <v:fill on="false" color="#000000" opacity="0"/>
                </v:shape>
                <v:shape id="Shape 361" style="position:absolute;width:0;height:9458;left:8;top:0;" coordsize="0,945849" path="m0,945849l0,945778l0,0">
                  <v:stroke weight="0.25pt" endcap="round" joinstyle="miter" miterlimit="10" on="true" color="#000000"/>
                  <v:fill on="false" color="#000000" opacity="0"/>
                </v:shape>
                <v:shape id="Picture 363" style="position:absolute;width:14264;height:8046;left:15752;top:659;" filled="f">
                  <v:imagedata r:id="rId55"/>
                </v:shape>
              </v:group>
            </w:pict>
          </mc:Fallback>
        </mc:AlternateContent>
      </w:r>
    </w:p>
    <w:p w14:paraId="2F135236" w14:textId="77777777" w:rsidR="006C08A6" w:rsidRDefault="00000000">
      <w:pPr>
        <w:spacing w:after="235" w:line="254" w:lineRule="auto"/>
        <w:ind w:left="-5"/>
        <w:jc w:val="left"/>
      </w:pPr>
      <w:r>
        <w:rPr>
          <w:i/>
        </w:rPr>
        <w:t>Figure 3-4. Two languages describe positions within a square. Compared to the language on the left (a), the tokens on the right (b) carry more information, but they need more bits to represent them.</w:t>
      </w:r>
    </w:p>
    <w:p w14:paraId="1345B610" w14:textId="77777777" w:rsidR="006C08A6" w:rsidRDefault="00000000">
      <w:pPr>
        <w:ind w:left="-5"/>
      </w:pPr>
      <w:r>
        <w:t xml:space="preserve">If your language has four tokens, shown as (b) in </w:t>
      </w:r>
      <w:r>
        <w:rPr>
          <w:color w:val="990000"/>
        </w:rPr>
        <w:t>Figure 3-4</w:t>
      </w:r>
      <w:r>
        <w:t>, each token can give you a more specific position: upper-left, upper-right, lower-left, or lower-right. However, since there are now four tokens, you need two bits to represent them. The entropy of this language is 2. This language has higher entropy, since each token carries more information, but each token requires more bits to represent.</w:t>
      </w:r>
    </w:p>
    <w:p w14:paraId="7466527C" w14:textId="77777777" w:rsidR="006C08A6" w:rsidRDefault="00000000">
      <w:pPr>
        <w:spacing w:after="10"/>
        <w:ind w:left="-5"/>
      </w:pPr>
      <w:r>
        <w:t xml:space="preserve">Intuitively, entropy measures how difficult it is to predict what comes next in a language. The lower a language’s entropy (the less information a token of a language carries), the more predictable that language. In our previous example, the language with only two tokens is easier to predict than the language with four (you have to predict among only two possible tokens compared to four). This is similar to how, if you can perfectly predict what I will say next, what I say carries no new information. </w:t>
      </w:r>
      <w:r>
        <w:rPr>
          <w:rFonts w:ascii="Calibri" w:eastAsia="Calibri" w:hAnsi="Calibri" w:cs="Calibri"/>
          <w:b/>
          <w:sz w:val="32"/>
        </w:rPr>
        <w:t>Cross Entropy</w:t>
      </w:r>
    </w:p>
    <w:p w14:paraId="1477549D" w14:textId="77777777" w:rsidR="006C08A6" w:rsidRDefault="00000000">
      <w:pPr>
        <w:ind w:left="-5"/>
      </w:pPr>
      <w:r>
        <w:t>When you train a language model on a dataset, your goal is to get the model to learn the distribution of this training data. In other words, your goal is to get the model to predict what comes next in the training data. A language model’s cross entropy on a dataset measures how difficult it is for the language model to predict what comes next in this dataset.</w:t>
      </w:r>
    </w:p>
    <w:p w14:paraId="40F5BE5C" w14:textId="77777777" w:rsidR="006C08A6" w:rsidRDefault="00000000">
      <w:pPr>
        <w:spacing w:after="196"/>
        <w:ind w:left="-5"/>
      </w:pPr>
      <w:r>
        <w:t>A model’s cross entropy on the training data depends on two qualities:</w:t>
      </w:r>
    </w:p>
    <w:p w14:paraId="2E94B986" w14:textId="77777777" w:rsidR="006C08A6" w:rsidRDefault="00000000">
      <w:pPr>
        <w:numPr>
          <w:ilvl w:val="0"/>
          <w:numId w:val="1"/>
        </w:numPr>
        <w:spacing w:after="76"/>
        <w:ind w:hanging="254"/>
      </w:pPr>
      <w:r>
        <w:t>The training data’s predictability, measured by the training data’s entropy</w:t>
      </w:r>
    </w:p>
    <w:p w14:paraId="1A9E04F3" w14:textId="77777777" w:rsidR="006C08A6" w:rsidRDefault="00000000">
      <w:pPr>
        <w:numPr>
          <w:ilvl w:val="0"/>
          <w:numId w:val="1"/>
        </w:numPr>
        <w:spacing w:after="200"/>
        <w:ind w:hanging="254"/>
      </w:pPr>
      <w:r>
        <w:t>How the distribution captured by the language model diverges from the true distribution of the training data</w:t>
      </w:r>
    </w:p>
    <w:p w14:paraId="3B30ABC1" w14:textId="77777777" w:rsidR="006C08A6" w:rsidRDefault="00000000">
      <w:pPr>
        <w:spacing w:after="200"/>
        <w:ind w:left="-5"/>
      </w:pPr>
      <w:r>
        <w:t xml:space="preserve">Entropy and cross entropy share the same mathematical notation, </w:t>
      </w:r>
      <w:r>
        <w:rPr>
          <w:i/>
        </w:rPr>
        <w:t>H</w:t>
      </w:r>
      <w:r>
        <w:t xml:space="preserve">. Let </w:t>
      </w:r>
      <w:r>
        <w:rPr>
          <w:i/>
        </w:rPr>
        <w:t>P</w:t>
      </w:r>
      <w:r>
        <w:t xml:space="preserve"> be the true distribution of the training data, and </w:t>
      </w:r>
      <w:r>
        <w:rPr>
          <w:i/>
        </w:rPr>
        <w:t>Q</w:t>
      </w:r>
      <w:r>
        <w:t xml:space="preserve"> be the distribution learned by the language model. Accordingly, the following is true:</w:t>
      </w:r>
    </w:p>
    <w:p w14:paraId="5539DDE8" w14:textId="77777777" w:rsidR="006C08A6" w:rsidRDefault="00000000">
      <w:pPr>
        <w:numPr>
          <w:ilvl w:val="0"/>
          <w:numId w:val="2"/>
        </w:numPr>
        <w:spacing w:after="78"/>
        <w:ind w:hanging="187"/>
      </w:pPr>
      <w:r>
        <w:t xml:space="preserve">The training data’s entropy is, therefore, </w:t>
      </w:r>
      <w:r>
        <w:rPr>
          <w:i/>
        </w:rPr>
        <w:t>H</w:t>
      </w:r>
      <w:r>
        <w:t>(</w:t>
      </w:r>
      <w:r>
        <w:rPr>
          <w:i/>
        </w:rPr>
        <w:t>P</w:t>
      </w:r>
      <w:r>
        <w:t>).</w:t>
      </w:r>
    </w:p>
    <w:p w14:paraId="28030279" w14:textId="77777777" w:rsidR="006C08A6" w:rsidRDefault="00000000">
      <w:pPr>
        <w:numPr>
          <w:ilvl w:val="0"/>
          <w:numId w:val="2"/>
        </w:numPr>
        <w:ind w:hanging="187"/>
      </w:pPr>
      <w:r>
        <w:t xml:space="preserve">The divergence of </w:t>
      </w:r>
      <w:r>
        <w:rPr>
          <w:i/>
        </w:rPr>
        <w:t>Q</w:t>
      </w:r>
      <w:r>
        <w:t xml:space="preserve"> with respect to </w:t>
      </w:r>
      <w:r>
        <w:rPr>
          <w:i/>
        </w:rPr>
        <w:t>P</w:t>
      </w:r>
      <w:r>
        <w:t xml:space="preserve"> can be measured using the Kullback–Leibler (KL) divergence, which is mathematically represented as </w:t>
      </w:r>
      <w:r>
        <w:rPr>
          <w:i/>
        </w:rPr>
        <w:t>D</w:t>
      </w:r>
      <w:r>
        <w:rPr>
          <w:i/>
          <w:sz w:val="19"/>
          <w:vertAlign w:val="subscript"/>
        </w:rPr>
        <w:t xml:space="preserve">KL </w:t>
      </w:r>
      <w:r>
        <w:t>(</w:t>
      </w:r>
      <w:r>
        <w:rPr>
          <w:i/>
        </w:rPr>
        <w:t xml:space="preserve">P </w:t>
      </w:r>
      <w:r>
        <w:t xml:space="preserve">| | </w:t>
      </w:r>
      <w:r>
        <w:rPr>
          <w:i/>
        </w:rPr>
        <w:t>Q</w:t>
      </w:r>
      <w:r>
        <w:t>).</w:t>
      </w:r>
    </w:p>
    <w:p w14:paraId="168292BC" w14:textId="77777777" w:rsidR="006C08A6" w:rsidRDefault="00000000">
      <w:pPr>
        <w:numPr>
          <w:ilvl w:val="0"/>
          <w:numId w:val="2"/>
        </w:numPr>
        <w:spacing w:after="3" w:line="259" w:lineRule="auto"/>
        <w:ind w:hanging="187"/>
      </w:pPr>
      <w:r>
        <w:lastRenderedPageBreak/>
        <w:t>The model’s cross entropy with respect to the training data is therefore:</w:t>
      </w:r>
    </w:p>
    <w:p w14:paraId="2A43E14F" w14:textId="77777777" w:rsidR="006C08A6" w:rsidRDefault="00000000">
      <w:pPr>
        <w:spacing w:after="207"/>
        <w:ind w:left="376"/>
      </w:pPr>
      <w:r>
        <w:rPr>
          <w:i/>
        </w:rPr>
        <w:t xml:space="preserve">H </w:t>
      </w:r>
      <w:r>
        <w:t>(</w:t>
      </w:r>
      <w:r>
        <w:rPr>
          <w:i/>
        </w:rPr>
        <w:t>P</w:t>
      </w:r>
      <w:r>
        <w:t xml:space="preserve">, </w:t>
      </w:r>
      <w:r>
        <w:rPr>
          <w:i/>
        </w:rPr>
        <w:t>Q</w:t>
      </w:r>
      <w:r>
        <w:t xml:space="preserve">) = </w:t>
      </w:r>
      <w:r>
        <w:rPr>
          <w:i/>
        </w:rPr>
        <w:t xml:space="preserve">H </w:t>
      </w:r>
      <w:r>
        <w:t>(</w:t>
      </w:r>
      <w:r>
        <w:rPr>
          <w:i/>
        </w:rPr>
        <w:t>P</w:t>
      </w:r>
      <w:r>
        <w:t xml:space="preserve">) + </w:t>
      </w:r>
      <w:r>
        <w:rPr>
          <w:i/>
        </w:rPr>
        <w:t>D</w:t>
      </w:r>
      <w:r>
        <w:rPr>
          <w:i/>
          <w:sz w:val="19"/>
          <w:vertAlign w:val="subscript"/>
        </w:rPr>
        <w:t xml:space="preserve">KL </w:t>
      </w:r>
      <w:r>
        <w:t>(</w:t>
      </w:r>
      <w:r>
        <w:rPr>
          <w:i/>
        </w:rPr>
        <w:t xml:space="preserve">P </w:t>
      </w:r>
      <w:r>
        <w:t xml:space="preserve">| | </w:t>
      </w:r>
      <w:r>
        <w:rPr>
          <w:i/>
        </w:rPr>
        <w:t>Q</w:t>
      </w:r>
      <w:r>
        <w:t>).</w:t>
      </w:r>
    </w:p>
    <w:p w14:paraId="09275138" w14:textId="77777777" w:rsidR="006C08A6" w:rsidRDefault="00000000">
      <w:pPr>
        <w:ind w:left="-5"/>
      </w:pPr>
      <w:r>
        <w:t xml:space="preserve">Cross entropy isn’t symmetric. The cross entropy of </w:t>
      </w:r>
      <w:r>
        <w:rPr>
          <w:i/>
        </w:rPr>
        <w:t>Q</w:t>
      </w:r>
      <w:r>
        <w:t xml:space="preserve"> with respect to </w:t>
      </w:r>
      <w:r>
        <w:rPr>
          <w:i/>
        </w:rPr>
        <w:t>P</w:t>
      </w:r>
      <w:r>
        <w:t>—</w:t>
      </w:r>
      <w:r>
        <w:rPr>
          <w:i/>
        </w:rPr>
        <w:t>H</w:t>
      </w:r>
      <w:r>
        <w:t>(</w:t>
      </w:r>
      <w:r>
        <w:rPr>
          <w:i/>
        </w:rPr>
        <w:t>P</w:t>
      </w:r>
      <w:r>
        <w:t xml:space="preserve">, </w:t>
      </w:r>
      <w:r>
        <w:rPr>
          <w:i/>
        </w:rPr>
        <w:t>Q</w:t>
      </w:r>
      <w:r>
        <w:t xml:space="preserve">)—is different from the cross entropy of </w:t>
      </w:r>
      <w:r>
        <w:rPr>
          <w:i/>
        </w:rPr>
        <w:t>P</w:t>
      </w:r>
      <w:r>
        <w:t xml:space="preserve"> with respect to </w:t>
      </w:r>
      <w:r>
        <w:rPr>
          <w:i/>
        </w:rPr>
        <w:t>Q</w:t>
      </w:r>
      <w:r>
        <w:t>—</w:t>
      </w:r>
      <w:r>
        <w:rPr>
          <w:i/>
        </w:rPr>
        <w:t>H</w:t>
      </w:r>
      <w:r>
        <w:t>(</w:t>
      </w:r>
      <w:r>
        <w:rPr>
          <w:i/>
        </w:rPr>
        <w:t>Q</w:t>
      </w:r>
      <w:r>
        <w:t xml:space="preserve">, </w:t>
      </w:r>
      <w:r>
        <w:rPr>
          <w:i/>
        </w:rPr>
        <w:t>P</w:t>
      </w:r>
      <w:r>
        <w:t>).</w:t>
      </w:r>
    </w:p>
    <w:p w14:paraId="446389B1" w14:textId="77777777" w:rsidR="006C08A6" w:rsidRDefault="00000000">
      <w:pPr>
        <w:spacing w:after="13"/>
        <w:ind w:left="-5"/>
      </w:pPr>
      <w:r>
        <w:t xml:space="preserve">A language model is trained to minimize its cross entropy with respect to the training data. If the language model learns perfectly from its training data, the model’s cross entropy will be exactly the same as the entropy of the training data. The KL divergence of Q with respect to P will then be 0. You can think of a model’s cross entropy as its approximation of the entropy of its training data. </w:t>
      </w:r>
      <w:r>
        <w:rPr>
          <w:rFonts w:ascii="Calibri" w:eastAsia="Calibri" w:hAnsi="Calibri" w:cs="Calibri"/>
          <w:b/>
          <w:sz w:val="32"/>
        </w:rPr>
        <w:t>Bits-per-Character and Bits-per-Byte</w:t>
      </w:r>
    </w:p>
    <w:p w14:paraId="39A6158E" w14:textId="77777777" w:rsidR="006C08A6" w:rsidRDefault="00000000">
      <w:pPr>
        <w:ind w:left="-5"/>
      </w:pPr>
      <w:r>
        <w:t>One unit of entropy and cross entropy is bits. If the cross entropy of a language model is 6 bits, this language model needs 6 bits to represent each token.</w:t>
      </w:r>
    </w:p>
    <w:p w14:paraId="3395C2A7" w14:textId="77777777" w:rsidR="006C08A6" w:rsidRDefault="00000000">
      <w:pPr>
        <w:ind w:left="-5"/>
      </w:pPr>
      <w:r>
        <w:t xml:space="preserve">Since different models have different tokenization methods—for example, one model uses words as tokens and another uses characters as tokens—the number of bits per token isn’t comparable across models. Some use the number of </w:t>
      </w:r>
      <w:r>
        <w:rPr>
          <w:i/>
        </w:rPr>
        <w:t xml:space="preserve">bits-per-character </w:t>
      </w:r>
      <w:r>
        <w:t>(BPC) instead. If the number of bits per token is 6 and on average, each token consists of 2 characters, the BPC is 6/2 = 3.</w:t>
      </w:r>
    </w:p>
    <w:p w14:paraId="135940E2" w14:textId="77777777" w:rsidR="006C08A6" w:rsidRDefault="00000000">
      <w:pPr>
        <w:ind w:left="-5"/>
      </w:pPr>
      <w:r>
        <w:t xml:space="preserve">One complication with BPC arises from different character encoding schemes. For example, with ASCII, each character is encoded using 7 bits, but with UTF-8, a character can be encoded using anywhere between 8 and 32 bits. A more standardized metric would be </w:t>
      </w:r>
      <w:r>
        <w:rPr>
          <w:i/>
        </w:rPr>
        <w:t xml:space="preserve">bits-per-byte </w:t>
      </w:r>
      <w:r>
        <w:t>(BPB), the number of bits a language model needs to represent one byte of the original training data. If the BPC is 3 and each character is 7 bits, or ⅞ of a byte, then the BPB is 3 / (⅞) = 3.43.</w:t>
      </w:r>
    </w:p>
    <w:p w14:paraId="621AEB20" w14:textId="77777777" w:rsidR="006C08A6" w:rsidRDefault="00000000">
      <w:pPr>
        <w:spacing w:after="289"/>
        <w:ind w:left="-5"/>
      </w:pPr>
      <w:r>
        <w:t>Cross entropy tells us how efficient a language model will be at compressing text. If the BPB of a language model is 3.43, meaning it can represent each original byte (8 bits) using 3.43 bits, this language model can compress the original training text to less than half the text’s original size.</w:t>
      </w:r>
    </w:p>
    <w:p w14:paraId="3DBB2056" w14:textId="77777777" w:rsidR="006C08A6" w:rsidRDefault="00000000">
      <w:pPr>
        <w:pStyle w:val="Heading2"/>
        <w:ind w:left="-5"/>
      </w:pPr>
      <w:r>
        <w:t>Perplexity</w:t>
      </w:r>
    </w:p>
    <w:p w14:paraId="4ED46ACB" w14:textId="77777777" w:rsidR="006C08A6" w:rsidRDefault="00000000">
      <w:pPr>
        <w:spacing w:after="266"/>
        <w:ind w:left="-5"/>
      </w:pPr>
      <w:r>
        <w:rPr>
          <w:i/>
        </w:rPr>
        <w:t>Perplexity</w:t>
      </w:r>
      <w:r>
        <w:t xml:space="preserve"> is the exponential of entropy and cross entropy. Perplexity is often shortened to PPL. Given a dataset with the true distribution </w:t>
      </w:r>
      <w:r>
        <w:rPr>
          <w:i/>
        </w:rPr>
        <w:t>P</w:t>
      </w:r>
      <w:r>
        <w:t>, its perplexity is defined as:</w:t>
      </w:r>
    </w:p>
    <w:p w14:paraId="4611C8A2" w14:textId="77777777" w:rsidR="006C08A6" w:rsidRDefault="00000000">
      <w:pPr>
        <w:spacing w:after="3" w:line="259" w:lineRule="auto"/>
        <w:ind w:left="316"/>
        <w:jc w:val="left"/>
      </w:pPr>
      <w:r>
        <w:rPr>
          <w:i/>
          <w:sz w:val="20"/>
        </w:rPr>
        <w:t xml:space="preserve">PPL </w:t>
      </w:r>
      <w:r>
        <w:rPr>
          <w:sz w:val="20"/>
        </w:rPr>
        <w:t>(</w:t>
      </w:r>
      <w:r>
        <w:rPr>
          <w:i/>
          <w:sz w:val="20"/>
        </w:rPr>
        <w:t>P</w:t>
      </w:r>
      <w:r>
        <w:rPr>
          <w:sz w:val="20"/>
        </w:rPr>
        <w:t>) = 2</w:t>
      </w:r>
      <w:r>
        <w:rPr>
          <w:i/>
          <w:sz w:val="18"/>
          <w:vertAlign w:val="superscript"/>
        </w:rPr>
        <w:t xml:space="preserve">H </w:t>
      </w:r>
      <w:r>
        <w:rPr>
          <w:sz w:val="18"/>
          <w:vertAlign w:val="superscript"/>
        </w:rPr>
        <w:t>(</w:t>
      </w:r>
      <w:r>
        <w:rPr>
          <w:i/>
          <w:sz w:val="18"/>
          <w:vertAlign w:val="superscript"/>
        </w:rPr>
        <w:t>P</w:t>
      </w:r>
      <w:r>
        <w:rPr>
          <w:sz w:val="18"/>
          <w:vertAlign w:val="superscript"/>
        </w:rPr>
        <w:t>)</w:t>
      </w:r>
    </w:p>
    <w:p w14:paraId="334AD55B" w14:textId="77777777" w:rsidR="006C08A6" w:rsidRDefault="00000000">
      <w:pPr>
        <w:spacing w:after="264"/>
        <w:ind w:left="-5"/>
      </w:pPr>
      <w:r>
        <w:t xml:space="preserve">The perplexity of a language model (with the learned distribution </w:t>
      </w:r>
      <w:r>
        <w:rPr>
          <w:i/>
        </w:rPr>
        <w:t>Q</w:t>
      </w:r>
      <w:r>
        <w:t>) on this dataset is defined as:</w:t>
      </w:r>
    </w:p>
    <w:p w14:paraId="58E7CA1E" w14:textId="77777777" w:rsidR="006C08A6" w:rsidRDefault="00000000">
      <w:pPr>
        <w:spacing w:after="352" w:line="259" w:lineRule="auto"/>
        <w:ind w:left="316"/>
        <w:jc w:val="left"/>
      </w:pPr>
      <w:r>
        <w:rPr>
          <w:i/>
          <w:sz w:val="20"/>
        </w:rPr>
        <w:t xml:space="preserve">PPL </w:t>
      </w:r>
      <w:r>
        <w:rPr>
          <w:sz w:val="20"/>
        </w:rPr>
        <w:t>(</w:t>
      </w:r>
      <w:r>
        <w:rPr>
          <w:i/>
          <w:sz w:val="20"/>
        </w:rPr>
        <w:t>P</w:t>
      </w:r>
      <w:r>
        <w:rPr>
          <w:sz w:val="20"/>
        </w:rPr>
        <w:t xml:space="preserve">, </w:t>
      </w:r>
      <w:r>
        <w:rPr>
          <w:i/>
          <w:sz w:val="20"/>
        </w:rPr>
        <w:t>Q</w:t>
      </w:r>
      <w:r>
        <w:rPr>
          <w:sz w:val="20"/>
        </w:rPr>
        <w:t>) = 2</w:t>
      </w:r>
      <w:r>
        <w:rPr>
          <w:i/>
          <w:sz w:val="12"/>
        </w:rPr>
        <w:t xml:space="preserve">H </w:t>
      </w:r>
      <w:r>
        <w:rPr>
          <w:sz w:val="12"/>
        </w:rPr>
        <w:t>(</w:t>
      </w:r>
      <w:r>
        <w:rPr>
          <w:i/>
          <w:sz w:val="12"/>
        </w:rPr>
        <w:t>P</w:t>
      </w:r>
      <w:r>
        <w:rPr>
          <w:sz w:val="12"/>
        </w:rPr>
        <w:t>,</w:t>
      </w:r>
      <w:r>
        <w:rPr>
          <w:i/>
          <w:sz w:val="12"/>
        </w:rPr>
        <w:t>Q</w:t>
      </w:r>
      <w:r>
        <w:rPr>
          <w:sz w:val="12"/>
        </w:rPr>
        <w:t>)</w:t>
      </w:r>
    </w:p>
    <w:p w14:paraId="4F41B45E" w14:textId="77777777" w:rsidR="006C08A6" w:rsidRDefault="00000000">
      <w:pPr>
        <w:ind w:left="-5"/>
      </w:pPr>
      <w:r>
        <w:lastRenderedPageBreak/>
        <w:t xml:space="preserve">If cross entropy measures how difficult it is for a model to predict the next token, perplexity measures the amount of uncertainty it has when predicting the next token. Higher uncertainty means there are more possible options for the next token. Consider a language model trained to encode the 4 position tokens, as in </w:t>
      </w:r>
      <w:r>
        <w:rPr>
          <w:color w:val="990000"/>
        </w:rPr>
        <w:t xml:space="preserve">Figure 3-4 </w:t>
      </w:r>
      <w:r>
        <w:t>(b), perfectly. The cross entropy of this language model is 2 bits. If this language model tries to predict a position in the square, it has to choose among 2 = 4 possible options. Thus, this language model has a perplexity of 4.</w:t>
      </w:r>
    </w:p>
    <w:p w14:paraId="26B16154" w14:textId="77777777" w:rsidR="006C08A6" w:rsidRDefault="00000000">
      <w:pPr>
        <w:ind w:left="-5"/>
      </w:pPr>
      <w:r>
        <w:t xml:space="preserve">So far, I’ve been using </w:t>
      </w:r>
      <w:r>
        <w:rPr>
          <w:i/>
        </w:rPr>
        <w:t>bit</w:t>
      </w:r>
      <w:r>
        <w:t xml:space="preserve"> as the unit for entropy and cross entropy. Each bit can represent 2 unique values, hence the base of 2 in the preceding perplexity equation.</w:t>
      </w:r>
    </w:p>
    <w:p w14:paraId="7DEF8B8F" w14:textId="77777777" w:rsidR="006C08A6" w:rsidRDefault="00000000">
      <w:pPr>
        <w:spacing w:after="277"/>
        <w:ind w:left="-5"/>
      </w:pPr>
      <w:r>
        <w:t xml:space="preserve">Popular ML frameworks, including TensorFlow and PyTorch, use </w:t>
      </w:r>
      <w:r>
        <w:rPr>
          <w:i/>
        </w:rPr>
        <w:t>nat</w:t>
      </w:r>
      <w:r>
        <w:t xml:space="preserve"> (natural log) as the unit for entropy and cross entropy. Nat uses the </w:t>
      </w:r>
      <w:r>
        <w:rPr>
          <w:color w:val="990000"/>
        </w:rPr>
        <w:t xml:space="preserve">base of </w:t>
      </w:r>
      <w:r>
        <w:rPr>
          <w:i/>
          <w:color w:val="990000"/>
        </w:rPr>
        <w:t>e</w:t>
      </w:r>
      <w:r>
        <w:t>, the base of natural logarithm.</w:t>
      </w:r>
      <w:r>
        <w:rPr>
          <w:sz w:val="18"/>
          <w:vertAlign w:val="superscript"/>
        </w:rPr>
        <w:footnoteReference w:id="8"/>
      </w:r>
      <w:r>
        <w:t xml:space="preserve"> If you use </w:t>
      </w:r>
      <w:r>
        <w:rPr>
          <w:i/>
        </w:rPr>
        <w:t>nat</w:t>
      </w:r>
      <w:r>
        <w:t xml:space="preserve"> as the unit, perplexity is the exponential of </w:t>
      </w:r>
      <w:r>
        <w:rPr>
          <w:i/>
        </w:rPr>
        <w:t>e</w:t>
      </w:r>
      <w:r>
        <w:t>:</w:t>
      </w:r>
    </w:p>
    <w:p w14:paraId="69C9E80E" w14:textId="77777777" w:rsidR="006C08A6" w:rsidRDefault="00000000">
      <w:pPr>
        <w:spacing w:after="354" w:line="259" w:lineRule="auto"/>
        <w:ind w:left="316"/>
        <w:jc w:val="left"/>
      </w:pPr>
      <w:r>
        <w:rPr>
          <w:i/>
          <w:sz w:val="20"/>
        </w:rPr>
        <w:t xml:space="preserve">PPL </w:t>
      </w:r>
      <w:r>
        <w:rPr>
          <w:sz w:val="20"/>
        </w:rPr>
        <w:t>(</w:t>
      </w:r>
      <w:r>
        <w:rPr>
          <w:i/>
          <w:sz w:val="20"/>
        </w:rPr>
        <w:t>P</w:t>
      </w:r>
      <w:r>
        <w:rPr>
          <w:sz w:val="20"/>
        </w:rPr>
        <w:t xml:space="preserve">, </w:t>
      </w:r>
      <w:r>
        <w:rPr>
          <w:i/>
          <w:sz w:val="20"/>
        </w:rPr>
        <w:t>Q</w:t>
      </w:r>
      <w:r>
        <w:rPr>
          <w:sz w:val="20"/>
        </w:rPr>
        <w:t xml:space="preserve">) = </w:t>
      </w:r>
      <w:r>
        <w:rPr>
          <w:i/>
          <w:sz w:val="20"/>
        </w:rPr>
        <w:t xml:space="preserve">e </w:t>
      </w:r>
      <w:r>
        <w:rPr>
          <w:i/>
          <w:sz w:val="12"/>
        </w:rPr>
        <w:t xml:space="preserve">H </w:t>
      </w:r>
      <w:r>
        <w:rPr>
          <w:sz w:val="12"/>
        </w:rPr>
        <w:t>(</w:t>
      </w:r>
      <w:r>
        <w:rPr>
          <w:i/>
          <w:sz w:val="12"/>
        </w:rPr>
        <w:t>P</w:t>
      </w:r>
      <w:r>
        <w:rPr>
          <w:sz w:val="12"/>
        </w:rPr>
        <w:t>,</w:t>
      </w:r>
      <w:r>
        <w:rPr>
          <w:i/>
          <w:sz w:val="12"/>
        </w:rPr>
        <w:t>Q</w:t>
      </w:r>
      <w:r>
        <w:rPr>
          <w:sz w:val="12"/>
        </w:rPr>
        <w:t>)</w:t>
      </w:r>
    </w:p>
    <w:p w14:paraId="01D84BB7" w14:textId="77777777" w:rsidR="006C08A6" w:rsidRDefault="00000000">
      <w:pPr>
        <w:spacing w:after="37"/>
        <w:ind w:left="-5"/>
      </w:pPr>
      <w:r>
        <w:t xml:space="preserve">Due to the confusion around </w:t>
      </w:r>
      <w:r>
        <w:rPr>
          <w:i/>
        </w:rPr>
        <w:t>bit</w:t>
      </w:r>
      <w:r>
        <w:t xml:space="preserve"> and </w:t>
      </w:r>
      <w:r>
        <w:rPr>
          <w:i/>
        </w:rPr>
        <w:t>nat</w:t>
      </w:r>
      <w:r>
        <w:t xml:space="preserve">, many people report perplexity, instead of cross entropy, when reporting their language models’ performance. </w:t>
      </w:r>
      <w:r>
        <w:rPr>
          <w:rFonts w:ascii="Calibri" w:eastAsia="Calibri" w:hAnsi="Calibri" w:cs="Calibri"/>
          <w:b/>
          <w:sz w:val="32"/>
        </w:rPr>
        <w:t>Perplexity Interpretation and Use Cases</w:t>
      </w:r>
    </w:p>
    <w:p w14:paraId="61DD4ACC" w14:textId="77777777" w:rsidR="006C08A6" w:rsidRDefault="00000000">
      <w:pPr>
        <w:ind w:left="-5"/>
      </w:pPr>
      <w:r>
        <w:t>As discussed, cross entropy, perplexity, BPC, and BPB are variations of language models’ predictive accuracy measurements. The more accurately a model can predict a text, the lower these metrics are. In this book, I’ll use perplexity as the default language modeling metric. Remember that the more uncertainty the model has in predicting what comes next in a given dataset, the higher the perplexity.</w:t>
      </w:r>
    </w:p>
    <w:p w14:paraId="018B7179" w14:textId="77777777" w:rsidR="006C08A6" w:rsidRDefault="00000000">
      <w:pPr>
        <w:ind w:left="-5"/>
      </w:pPr>
      <w:r>
        <w:t>What’s considered a good value for perplexity depends on the data itself and how exactly perplexity is computed, such as how many previous tokens a model has access to. Here are some general rules:</w:t>
      </w:r>
    </w:p>
    <w:p w14:paraId="5D8CCEA6" w14:textId="77777777" w:rsidR="006C08A6" w:rsidRDefault="00000000">
      <w:pPr>
        <w:spacing w:after="5" w:line="254" w:lineRule="auto"/>
        <w:ind w:left="-5"/>
        <w:jc w:val="left"/>
      </w:pPr>
      <w:r>
        <w:rPr>
          <w:i/>
        </w:rPr>
        <w:t>More structured data gives lower expected perplexity</w:t>
      </w:r>
    </w:p>
    <w:p w14:paraId="7DE0B023" w14:textId="77777777" w:rsidR="006C08A6" w:rsidRDefault="00000000">
      <w:pPr>
        <w:ind w:left="370"/>
      </w:pPr>
      <w:r>
        <w:t xml:space="preserve">More structured data is more predictable. For example, HTML code is more predictable than everyday text. If you see an opening HTML tag like </w:t>
      </w:r>
      <w:r>
        <w:rPr>
          <w:rFonts w:ascii="Courier New" w:eastAsia="Courier New" w:hAnsi="Courier New" w:cs="Courier New"/>
          <w:sz w:val="20"/>
        </w:rPr>
        <w:t>&lt;head&gt;,</w:t>
      </w:r>
      <w:r>
        <w:t xml:space="preserve"> you can predict that there should be a closing tag, </w:t>
      </w:r>
      <w:r>
        <w:rPr>
          <w:rFonts w:ascii="Courier New" w:eastAsia="Courier New" w:hAnsi="Courier New" w:cs="Courier New"/>
          <w:sz w:val="20"/>
        </w:rPr>
        <w:t>&lt;/head&gt;,</w:t>
      </w:r>
      <w:r>
        <w:t xml:space="preserve"> nearby. Therefore, the expected perplexity of a model on HTML code should be lower than the expected perplexity of a model on everyday text.</w:t>
      </w:r>
    </w:p>
    <w:p w14:paraId="2FD2215B" w14:textId="77777777" w:rsidR="006C08A6" w:rsidRDefault="00000000">
      <w:pPr>
        <w:spacing w:after="5" w:line="254" w:lineRule="auto"/>
        <w:ind w:left="-5"/>
        <w:jc w:val="left"/>
      </w:pPr>
      <w:r>
        <w:rPr>
          <w:i/>
        </w:rPr>
        <w:t>The bigger the vocabulary, the higher the perplexity</w:t>
      </w:r>
    </w:p>
    <w:p w14:paraId="2B56769A" w14:textId="77777777" w:rsidR="006C08A6" w:rsidRDefault="00000000">
      <w:pPr>
        <w:ind w:left="370"/>
      </w:pPr>
      <w:r>
        <w:t xml:space="preserve">Intuitively, the more possible tokens there are, the harder it is for the model to predict the next token. For example, a model’s perplexity on a children’s book will </w:t>
      </w:r>
      <w:r>
        <w:lastRenderedPageBreak/>
        <w:t xml:space="preserve">likely be lower than the same model’s perplexity on </w:t>
      </w:r>
      <w:r>
        <w:rPr>
          <w:i/>
        </w:rPr>
        <w:t>War and Peace</w:t>
      </w:r>
      <w:r>
        <w:t>. For the same dataset, say in English, character-based perplexity (predicting the next character) will be lower than word-based perplexity (predicting the next word), because the number of possible characters is smaller than the number of possible words.</w:t>
      </w:r>
    </w:p>
    <w:p w14:paraId="2F10C3EB" w14:textId="77777777" w:rsidR="006C08A6" w:rsidRDefault="00000000">
      <w:pPr>
        <w:spacing w:after="5" w:line="254" w:lineRule="auto"/>
        <w:ind w:left="-5"/>
        <w:jc w:val="left"/>
      </w:pPr>
      <w:r>
        <w:rPr>
          <w:i/>
        </w:rPr>
        <w:t>The longer the context length, the lower the perplexity</w:t>
      </w:r>
    </w:p>
    <w:p w14:paraId="3138DD46" w14:textId="77777777" w:rsidR="006C08A6" w:rsidRDefault="00000000">
      <w:pPr>
        <w:ind w:left="370"/>
      </w:pPr>
      <w:r>
        <w:t>The more context a model has, the less uncertainty it will have in predicting the next token. In 1951, Claude Shannon evaluated his model’s cross entropy by using it to predict the next token conditioned on up to 10 previous tokens. As of this writing, a model’s perplexity can typically be computed and conditioned on between 500 and 10,000 previous tokens, and possibly more, upperbounded by the model’s maximum context length.</w:t>
      </w:r>
    </w:p>
    <w:p w14:paraId="6D8D842B" w14:textId="77777777" w:rsidR="006C08A6" w:rsidRDefault="00000000">
      <w:pPr>
        <w:ind w:left="-5"/>
      </w:pPr>
      <w:r>
        <w:t>For reference, it’s not uncommon to see perplexity values as low as 3 or even lower. If all tokens in a hypothetical language have an equal chance of happening, a perplexity of 3 means that this model has a 1 in 3 chance of predicting the next token correctly. Given that a model’s vocabulary is in the order of 10,000s and 100,000s, these odds are incredible.</w:t>
      </w:r>
    </w:p>
    <w:p w14:paraId="6914593C" w14:textId="77777777" w:rsidR="006C08A6" w:rsidRDefault="00000000">
      <w:pPr>
        <w:ind w:left="-5"/>
      </w:pPr>
      <w:r>
        <w:t xml:space="preserve">Other than guiding the training of language models, perplexity is useful in many parts of an AI engineering workflow. First, perplexity is a good proxy for a model’s capabilities. If a model’s bad at predicting the next token, its performance on downstream tasks will also likely be bad. OpenAI’s GPT-2 report shows that larger models, which are also more powerful models, consistently give lower perplexity on a range of datasets, as shown in </w:t>
      </w:r>
      <w:r>
        <w:rPr>
          <w:color w:val="990000"/>
        </w:rPr>
        <w:t>Table 3-1</w:t>
      </w:r>
      <w:r>
        <w:t>. Sadly, following the trend of companies being increasingly more secretive about their models, many have stopped reporting their models’ perplexity.</w:t>
      </w:r>
    </w:p>
    <w:p w14:paraId="4CB03720" w14:textId="77777777" w:rsidR="006C08A6" w:rsidRDefault="00000000">
      <w:pPr>
        <w:spacing w:after="3" w:line="259" w:lineRule="auto"/>
        <w:ind w:left="-5"/>
        <w:jc w:val="left"/>
      </w:pPr>
      <w:r>
        <w:rPr>
          <w:i/>
          <w:sz w:val="20"/>
        </w:rPr>
        <w:t xml:space="preserve">Table 3-1. Larger GPT-2 models consistently give lower perplexity on different datasets. Source: </w:t>
      </w:r>
      <w:r>
        <w:rPr>
          <w:i/>
          <w:color w:val="990000"/>
          <w:sz w:val="20"/>
        </w:rPr>
        <w:t>OpenAI, 2018</w:t>
      </w:r>
      <w:r>
        <w:rPr>
          <w:i/>
          <w:sz w:val="20"/>
        </w:rPr>
        <w:t>.</w:t>
      </w:r>
    </w:p>
    <w:tbl>
      <w:tblPr>
        <w:tblStyle w:val="TableGrid"/>
        <w:tblW w:w="6823" w:type="dxa"/>
        <w:tblInd w:w="44" w:type="dxa"/>
        <w:tblCellMar>
          <w:top w:w="7" w:type="dxa"/>
          <w:left w:w="72" w:type="dxa"/>
          <w:bottom w:w="0" w:type="dxa"/>
          <w:right w:w="72" w:type="dxa"/>
        </w:tblCellMar>
        <w:tblLook w:val="04A0" w:firstRow="1" w:lastRow="0" w:firstColumn="1" w:lastColumn="0" w:noHBand="0" w:noVBand="1"/>
      </w:tblPr>
      <w:tblGrid>
        <w:gridCol w:w="595"/>
        <w:gridCol w:w="809"/>
        <w:gridCol w:w="809"/>
        <w:gridCol w:w="501"/>
        <w:gridCol w:w="501"/>
        <w:gridCol w:w="779"/>
        <w:gridCol w:w="501"/>
        <w:gridCol w:w="650"/>
        <w:gridCol w:w="494"/>
        <w:gridCol w:w="937"/>
        <w:gridCol w:w="580"/>
      </w:tblGrid>
      <w:tr w:rsidR="006C08A6" w14:paraId="44C8445D" w14:textId="77777777">
        <w:trPr>
          <w:trHeight w:val="495"/>
        </w:trPr>
        <w:tc>
          <w:tcPr>
            <w:tcW w:w="534" w:type="dxa"/>
            <w:tcBorders>
              <w:top w:val="nil"/>
              <w:left w:val="nil"/>
              <w:bottom w:val="single" w:sz="2" w:space="0" w:color="181717"/>
              <w:right w:val="nil"/>
            </w:tcBorders>
            <w:shd w:val="clear" w:color="auto" w:fill="000000"/>
          </w:tcPr>
          <w:p w14:paraId="1F3FA8C9" w14:textId="77777777" w:rsidR="006C08A6" w:rsidRDefault="006C08A6">
            <w:pPr>
              <w:spacing w:after="160" w:line="259" w:lineRule="auto"/>
              <w:ind w:left="0" w:firstLine="0"/>
              <w:jc w:val="left"/>
            </w:pPr>
          </w:p>
        </w:tc>
        <w:tc>
          <w:tcPr>
            <w:tcW w:w="729" w:type="dxa"/>
            <w:tcBorders>
              <w:top w:val="nil"/>
              <w:left w:val="nil"/>
              <w:bottom w:val="single" w:sz="2" w:space="0" w:color="181717"/>
              <w:right w:val="nil"/>
            </w:tcBorders>
            <w:shd w:val="clear" w:color="auto" w:fill="000000"/>
          </w:tcPr>
          <w:p w14:paraId="683AD88C" w14:textId="77777777" w:rsidR="006C08A6" w:rsidRDefault="00000000">
            <w:pPr>
              <w:spacing w:after="0" w:line="259" w:lineRule="auto"/>
              <w:ind w:left="0" w:firstLine="0"/>
            </w:pPr>
            <w:r>
              <w:rPr>
                <w:rFonts w:ascii="Calibri" w:eastAsia="Calibri" w:hAnsi="Calibri" w:cs="Calibri"/>
                <w:b/>
                <w:color w:val="FFFFFF"/>
                <w:sz w:val="18"/>
              </w:rPr>
              <w:t>LAMBADA</w:t>
            </w:r>
          </w:p>
          <w:p w14:paraId="34924F2C" w14:textId="77777777" w:rsidR="006C08A6" w:rsidRDefault="00000000">
            <w:pPr>
              <w:spacing w:after="0" w:line="259" w:lineRule="auto"/>
              <w:ind w:left="0" w:firstLine="0"/>
              <w:jc w:val="left"/>
            </w:pPr>
            <w:r>
              <w:rPr>
                <w:rFonts w:ascii="Calibri" w:eastAsia="Calibri" w:hAnsi="Calibri" w:cs="Calibri"/>
                <w:b/>
                <w:color w:val="FFFFFF"/>
                <w:sz w:val="18"/>
              </w:rPr>
              <w:t>(PPL)</w:t>
            </w:r>
          </w:p>
        </w:tc>
        <w:tc>
          <w:tcPr>
            <w:tcW w:w="729" w:type="dxa"/>
            <w:tcBorders>
              <w:top w:val="nil"/>
              <w:left w:val="nil"/>
              <w:bottom w:val="single" w:sz="2" w:space="0" w:color="181717"/>
              <w:right w:val="nil"/>
            </w:tcBorders>
            <w:shd w:val="clear" w:color="auto" w:fill="000000"/>
          </w:tcPr>
          <w:p w14:paraId="6BF41C6E" w14:textId="77777777" w:rsidR="006C08A6" w:rsidRDefault="00000000">
            <w:pPr>
              <w:spacing w:after="0" w:line="259" w:lineRule="auto"/>
              <w:ind w:left="0" w:firstLine="0"/>
            </w:pPr>
            <w:r>
              <w:rPr>
                <w:rFonts w:ascii="Calibri" w:eastAsia="Calibri" w:hAnsi="Calibri" w:cs="Calibri"/>
                <w:b/>
                <w:color w:val="FFFFFF"/>
                <w:sz w:val="18"/>
              </w:rPr>
              <w:t>LAMBADA</w:t>
            </w:r>
          </w:p>
          <w:p w14:paraId="0EF392D0" w14:textId="77777777" w:rsidR="006C08A6" w:rsidRDefault="00000000">
            <w:pPr>
              <w:spacing w:after="0" w:line="259" w:lineRule="auto"/>
              <w:ind w:left="0" w:firstLine="0"/>
              <w:jc w:val="left"/>
            </w:pPr>
            <w:r>
              <w:rPr>
                <w:rFonts w:ascii="Calibri" w:eastAsia="Calibri" w:hAnsi="Calibri" w:cs="Calibri"/>
                <w:b/>
                <w:color w:val="FFFFFF"/>
                <w:sz w:val="18"/>
              </w:rPr>
              <w:t>(ACC)</w:t>
            </w:r>
          </w:p>
        </w:tc>
        <w:tc>
          <w:tcPr>
            <w:tcW w:w="569" w:type="dxa"/>
            <w:tcBorders>
              <w:top w:val="nil"/>
              <w:left w:val="nil"/>
              <w:bottom w:val="single" w:sz="2" w:space="0" w:color="181717"/>
              <w:right w:val="nil"/>
            </w:tcBorders>
            <w:shd w:val="clear" w:color="auto" w:fill="000000"/>
          </w:tcPr>
          <w:p w14:paraId="3153E9F0" w14:textId="77777777" w:rsidR="006C08A6" w:rsidRDefault="00000000">
            <w:pPr>
              <w:spacing w:after="0" w:line="259" w:lineRule="auto"/>
              <w:ind w:left="0" w:firstLine="0"/>
              <w:jc w:val="left"/>
            </w:pPr>
            <w:r>
              <w:rPr>
                <w:rFonts w:ascii="Calibri" w:eastAsia="Calibri" w:hAnsi="Calibri" w:cs="Calibri"/>
                <w:b/>
                <w:color w:val="FFFFFF"/>
                <w:sz w:val="18"/>
              </w:rPr>
              <w:t>CBT-CN (ACC)</w:t>
            </w:r>
          </w:p>
        </w:tc>
        <w:tc>
          <w:tcPr>
            <w:tcW w:w="567" w:type="dxa"/>
            <w:tcBorders>
              <w:top w:val="nil"/>
              <w:left w:val="nil"/>
              <w:bottom w:val="single" w:sz="2" w:space="0" w:color="181717"/>
              <w:right w:val="nil"/>
            </w:tcBorders>
            <w:shd w:val="clear" w:color="auto" w:fill="000000"/>
          </w:tcPr>
          <w:p w14:paraId="7B4274C0" w14:textId="77777777" w:rsidR="006C08A6" w:rsidRDefault="00000000">
            <w:pPr>
              <w:spacing w:after="0" w:line="259" w:lineRule="auto"/>
              <w:ind w:left="0" w:firstLine="0"/>
              <w:jc w:val="left"/>
            </w:pPr>
            <w:r>
              <w:rPr>
                <w:rFonts w:ascii="Calibri" w:eastAsia="Calibri" w:hAnsi="Calibri" w:cs="Calibri"/>
                <w:b/>
                <w:color w:val="FFFFFF"/>
                <w:sz w:val="18"/>
              </w:rPr>
              <w:t>CBT-NE (ACC)</w:t>
            </w:r>
          </w:p>
        </w:tc>
        <w:tc>
          <w:tcPr>
            <w:tcW w:w="738" w:type="dxa"/>
            <w:tcBorders>
              <w:top w:val="nil"/>
              <w:left w:val="nil"/>
              <w:bottom w:val="single" w:sz="2" w:space="0" w:color="181717"/>
              <w:right w:val="nil"/>
            </w:tcBorders>
            <w:shd w:val="clear" w:color="auto" w:fill="000000"/>
          </w:tcPr>
          <w:p w14:paraId="3F85DE6A" w14:textId="77777777" w:rsidR="006C08A6" w:rsidRDefault="00000000">
            <w:pPr>
              <w:spacing w:after="0" w:line="259" w:lineRule="auto"/>
              <w:ind w:left="0" w:firstLine="0"/>
              <w:jc w:val="left"/>
            </w:pPr>
            <w:r>
              <w:rPr>
                <w:rFonts w:ascii="Calibri" w:eastAsia="Calibri" w:hAnsi="Calibri" w:cs="Calibri"/>
                <w:b/>
                <w:color w:val="FFFFFF"/>
                <w:sz w:val="18"/>
              </w:rPr>
              <w:t>WikiText2 (PPL)</w:t>
            </w:r>
          </w:p>
        </w:tc>
        <w:tc>
          <w:tcPr>
            <w:tcW w:w="461" w:type="dxa"/>
            <w:tcBorders>
              <w:top w:val="nil"/>
              <w:left w:val="nil"/>
              <w:bottom w:val="single" w:sz="2" w:space="0" w:color="181717"/>
              <w:right w:val="nil"/>
            </w:tcBorders>
            <w:shd w:val="clear" w:color="auto" w:fill="000000"/>
          </w:tcPr>
          <w:p w14:paraId="0DB25B4F" w14:textId="77777777" w:rsidR="006C08A6" w:rsidRDefault="00000000">
            <w:pPr>
              <w:spacing w:after="0" w:line="259" w:lineRule="auto"/>
              <w:ind w:left="0" w:firstLine="0"/>
              <w:jc w:val="left"/>
            </w:pPr>
            <w:r>
              <w:rPr>
                <w:rFonts w:ascii="Calibri" w:eastAsia="Calibri" w:hAnsi="Calibri" w:cs="Calibri"/>
                <w:b/>
                <w:color w:val="FFFFFF"/>
                <w:sz w:val="18"/>
              </w:rPr>
              <w:t>PTB (PPL)</w:t>
            </w:r>
          </w:p>
        </w:tc>
        <w:tc>
          <w:tcPr>
            <w:tcW w:w="617" w:type="dxa"/>
            <w:tcBorders>
              <w:top w:val="nil"/>
              <w:left w:val="nil"/>
              <w:bottom w:val="single" w:sz="2" w:space="0" w:color="181717"/>
              <w:right w:val="nil"/>
            </w:tcBorders>
            <w:shd w:val="clear" w:color="auto" w:fill="000000"/>
          </w:tcPr>
          <w:p w14:paraId="0E658E2A" w14:textId="77777777" w:rsidR="006C08A6" w:rsidRDefault="00000000">
            <w:pPr>
              <w:spacing w:after="0" w:line="259" w:lineRule="auto"/>
              <w:ind w:left="0" w:firstLine="0"/>
              <w:jc w:val="left"/>
            </w:pPr>
            <w:r>
              <w:rPr>
                <w:rFonts w:ascii="Calibri" w:eastAsia="Calibri" w:hAnsi="Calibri" w:cs="Calibri"/>
                <w:b/>
                <w:color w:val="FFFFFF"/>
                <w:sz w:val="18"/>
              </w:rPr>
              <w:t>enwiki8 (BPB)</w:t>
            </w:r>
          </w:p>
        </w:tc>
        <w:tc>
          <w:tcPr>
            <w:tcW w:w="465" w:type="dxa"/>
            <w:tcBorders>
              <w:top w:val="nil"/>
              <w:left w:val="nil"/>
              <w:bottom w:val="single" w:sz="2" w:space="0" w:color="181717"/>
              <w:right w:val="nil"/>
            </w:tcBorders>
            <w:shd w:val="clear" w:color="auto" w:fill="000000"/>
          </w:tcPr>
          <w:p w14:paraId="690B9807" w14:textId="77777777" w:rsidR="006C08A6" w:rsidRDefault="00000000">
            <w:pPr>
              <w:spacing w:after="0" w:line="259" w:lineRule="auto"/>
              <w:ind w:left="0" w:firstLine="0"/>
              <w:jc w:val="left"/>
            </w:pPr>
            <w:r>
              <w:rPr>
                <w:rFonts w:ascii="Calibri" w:eastAsia="Calibri" w:hAnsi="Calibri" w:cs="Calibri"/>
                <w:b/>
                <w:color w:val="FFFFFF"/>
                <w:sz w:val="18"/>
              </w:rPr>
              <w:t>text8 (BPC)</w:t>
            </w:r>
          </w:p>
        </w:tc>
        <w:tc>
          <w:tcPr>
            <w:tcW w:w="885" w:type="dxa"/>
            <w:tcBorders>
              <w:top w:val="nil"/>
              <w:left w:val="nil"/>
              <w:bottom w:val="single" w:sz="2" w:space="0" w:color="181717"/>
              <w:right w:val="nil"/>
            </w:tcBorders>
            <w:shd w:val="clear" w:color="auto" w:fill="000000"/>
          </w:tcPr>
          <w:p w14:paraId="7CD43C46" w14:textId="77777777" w:rsidR="006C08A6" w:rsidRDefault="00000000">
            <w:pPr>
              <w:spacing w:after="0" w:line="259" w:lineRule="auto"/>
              <w:ind w:left="0" w:firstLine="0"/>
              <w:jc w:val="left"/>
            </w:pPr>
            <w:r>
              <w:rPr>
                <w:rFonts w:ascii="Calibri" w:eastAsia="Calibri" w:hAnsi="Calibri" w:cs="Calibri"/>
                <w:b/>
                <w:color w:val="FFFFFF"/>
                <w:sz w:val="18"/>
              </w:rPr>
              <w:t>WikiText103 (PBL)</w:t>
            </w:r>
          </w:p>
        </w:tc>
        <w:tc>
          <w:tcPr>
            <w:tcW w:w="530" w:type="dxa"/>
            <w:tcBorders>
              <w:top w:val="nil"/>
              <w:left w:val="nil"/>
              <w:bottom w:val="single" w:sz="2" w:space="0" w:color="181717"/>
              <w:right w:val="nil"/>
            </w:tcBorders>
            <w:shd w:val="clear" w:color="auto" w:fill="000000"/>
          </w:tcPr>
          <w:p w14:paraId="751953AB" w14:textId="77777777" w:rsidR="006C08A6" w:rsidRDefault="00000000">
            <w:pPr>
              <w:spacing w:after="0" w:line="259" w:lineRule="auto"/>
              <w:ind w:left="0" w:firstLine="0"/>
              <w:jc w:val="left"/>
            </w:pPr>
            <w:r>
              <w:rPr>
                <w:rFonts w:ascii="Calibri" w:eastAsia="Calibri" w:hAnsi="Calibri" w:cs="Calibri"/>
                <w:b/>
                <w:color w:val="FFFFFF"/>
                <w:sz w:val="18"/>
              </w:rPr>
              <w:t>IBW</w:t>
            </w:r>
          </w:p>
          <w:p w14:paraId="67ABCC44" w14:textId="77777777" w:rsidR="006C08A6" w:rsidRDefault="00000000">
            <w:pPr>
              <w:spacing w:after="0" w:line="259" w:lineRule="auto"/>
              <w:ind w:left="0" w:firstLine="0"/>
              <w:jc w:val="left"/>
            </w:pPr>
            <w:r>
              <w:rPr>
                <w:rFonts w:ascii="Calibri" w:eastAsia="Calibri" w:hAnsi="Calibri" w:cs="Calibri"/>
                <w:b/>
                <w:color w:val="FFFFFF"/>
                <w:sz w:val="18"/>
              </w:rPr>
              <w:t>(PPL)</w:t>
            </w:r>
          </w:p>
        </w:tc>
      </w:tr>
      <w:tr w:rsidR="006C08A6" w14:paraId="7C896ECF" w14:textId="77777777">
        <w:trPr>
          <w:trHeight w:val="260"/>
        </w:trPr>
        <w:tc>
          <w:tcPr>
            <w:tcW w:w="534" w:type="dxa"/>
            <w:tcBorders>
              <w:top w:val="single" w:sz="2" w:space="0" w:color="181717"/>
              <w:left w:val="single" w:sz="2" w:space="0" w:color="181717"/>
              <w:bottom w:val="single" w:sz="2" w:space="0" w:color="181717"/>
              <w:right w:val="single" w:sz="2" w:space="0" w:color="181717"/>
            </w:tcBorders>
          </w:tcPr>
          <w:p w14:paraId="51F380B2" w14:textId="77777777" w:rsidR="006C08A6" w:rsidRDefault="00000000">
            <w:pPr>
              <w:spacing w:after="0" w:line="259" w:lineRule="auto"/>
              <w:ind w:left="3" w:firstLine="0"/>
              <w:jc w:val="left"/>
            </w:pPr>
            <w:r>
              <w:rPr>
                <w:rFonts w:ascii="Calibri" w:eastAsia="Calibri" w:hAnsi="Calibri" w:cs="Calibri"/>
                <w:sz w:val="18"/>
              </w:rPr>
              <w:t>SOTA</w:t>
            </w:r>
          </w:p>
        </w:tc>
        <w:tc>
          <w:tcPr>
            <w:tcW w:w="729" w:type="dxa"/>
            <w:tcBorders>
              <w:top w:val="single" w:sz="2" w:space="0" w:color="181717"/>
              <w:left w:val="single" w:sz="2" w:space="0" w:color="181717"/>
              <w:bottom w:val="single" w:sz="2" w:space="0" w:color="181717"/>
              <w:right w:val="single" w:sz="2" w:space="0" w:color="181717"/>
            </w:tcBorders>
          </w:tcPr>
          <w:p w14:paraId="059D0F80" w14:textId="77777777" w:rsidR="006C08A6" w:rsidRDefault="00000000">
            <w:pPr>
              <w:spacing w:after="0" w:line="259" w:lineRule="auto"/>
              <w:ind w:left="3" w:firstLine="0"/>
              <w:jc w:val="left"/>
            </w:pPr>
            <w:r>
              <w:rPr>
                <w:rFonts w:ascii="Calibri" w:eastAsia="Calibri" w:hAnsi="Calibri" w:cs="Calibri"/>
                <w:sz w:val="18"/>
              </w:rPr>
              <w:t>99.8</w:t>
            </w:r>
          </w:p>
        </w:tc>
        <w:tc>
          <w:tcPr>
            <w:tcW w:w="729" w:type="dxa"/>
            <w:tcBorders>
              <w:top w:val="single" w:sz="2" w:space="0" w:color="181717"/>
              <w:left w:val="single" w:sz="2" w:space="0" w:color="181717"/>
              <w:bottom w:val="single" w:sz="2" w:space="0" w:color="181717"/>
              <w:right w:val="single" w:sz="2" w:space="0" w:color="181717"/>
            </w:tcBorders>
          </w:tcPr>
          <w:p w14:paraId="75684503" w14:textId="77777777" w:rsidR="006C08A6" w:rsidRDefault="00000000">
            <w:pPr>
              <w:spacing w:after="0" w:line="259" w:lineRule="auto"/>
              <w:ind w:left="3" w:firstLine="0"/>
              <w:jc w:val="left"/>
            </w:pPr>
            <w:r>
              <w:rPr>
                <w:rFonts w:ascii="Calibri" w:eastAsia="Calibri" w:hAnsi="Calibri" w:cs="Calibri"/>
                <w:sz w:val="18"/>
              </w:rPr>
              <w:t>59.23</w:t>
            </w:r>
          </w:p>
        </w:tc>
        <w:tc>
          <w:tcPr>
            <w:tcW w:w="569" w:type="dxa"/>
            <w:tcBorders>
              <w:top w:val="single" w:sz="2" w:space="0" w:color="181717"/>
              <w:left w:val="single" w:sz="2" w:space="0" w:color="181717"/>
              <w:bottom w:val="single" w:sz="2" w:space="0" w:color="181717"/>
              <w:right w:val="single" w:sz="2" w:space="0" w:color="181717"/>
            </w:tcBorders>
          </w:tcPr>
          <w:p w14:paraId="3C2C880A" w14:textId="77777777" w:rsidR="006C08A6" w:rsidRDefault="00000000">
            <w:pPr>
              <w:spacing w:after="0" w:line="259" w:lineRule="auto"/>
              <w:ind w:left="3" w:firstLine="0"/>
              <w:jc w:val="left"/>
            </w:pPr>
            <w:r>
              <w:rPr>
                <w:rFonts w:ascii="Calibri" w:eastAsia="Calibri" w:hAnsi="Calibri" w:cs="Calibri"/>
                <w:sz w:val="18"/>
              </w:rPr>
              <w:t>85.7</w:t>
            </w:r>
          </w:p>
        </w:tc>
        <w:tc>
          <w:tcPr>
            <w:tcW w:w="567" w:type="dxa"/>
            <w:tcBorders>
              <w:top w:val="single" w:sz="2" w:space="0" w:color="181717"/>
              <w:left w:val="single" w:sz="2" w:space="0" w:color="181717"/>
              <w:bottom w:val="single" w:sz="2" w:space="0" w:color="181717"/>
              <w:right w:val="single" w:sz="2" w:space="0" w:color="181717"/>
            </w:tcBorders>
          </w:tcPr>
          <w:p w14:paraId="136BBC88" w14:textId="77777777" w:rsidR="006C08A6" w:rsidRDefault="00000000">
            <w:pPr>
              <w:spacing w:after="0" w:line="259" w:lineRule="auto"/>
              <w:ind w:left="3" w:firstLine="0"/>
              <w:jc w:val="left"/>
            </w:pPr>
            <w:r>
              <w:rPr>
                <w:rFonts w:ascii="Calibri" w:eastAsia="Calibri" w:hAnsi="Calibri" w:cs="Calibri"/>
                <w:sz w:val="18"/>
              </w:rPr>
              <w:t>82.3</w:t>
            </w:r>
          </w:p>
        </w:tc>
        <w:tc>
          <w:tcPr>
            <w:tcW w:w="738" w:type="dxa"/>
            <w:tcBorders>
              <w:top w:val="single" w:sz="2" w:space="0" w:color="181717"/>
              <w:left w:val="single" w:sz="2" w:space="0" w:color="181717"/>
              <w:bottom w:val="single" w:sz="2" w:space="0" w:color="181717"/>
              <w:right w:val="single" w:sz="2" w:space="0" w:color="181717"/>
            </w:tcBorders>
          </w:tcPr>
          <w:p w14:paraId="272C592B" w14:textId="77777777" w:rsidR="006C08A6" w:rsidRDefault="00000000">
            <w:pPr>
              <w:spacing w:after="0" w:line="259" w:lineRule="auto"/>
              <w:ind w:left="3" w:firstLine="0"/>
              <w:jc w:val="left"/>
            </w:pPr>
            <w:r>
              <w:rPr>
                <w:rFonts w:ascii="Calibri" w:eastAsia="Calibri" w:hAnsi="Calibri" w:cs="Calibri"/>
                <w:sz w:val="18"/>
              </w:rPr>
              <w:t>39.14</w:t>
            </w:r>
          </w:p>
        </w:tc>
        <w:tc>
          <w:tcPr>
            <w:tcW w:w="461" w:type="dxa"/>
            <w:tcBorders>
              <w:top w:val="single" w:sz="2" w:space="0" w:color="181717"/>
              <w:left w:val="single" w:sz="2" w:space="0" w:color="181717"/>
              <w:bottom w:val="single" w:sz="2" w:space="0" w:color="181717"/>
              <w:right w:val="single" w:sz="2" w:space="0" w:color="181717"/>
            </w:tcBorders>
          </w:tcPr>
          <w:p w14:paraId="6B657D17" w14:textId="77777777" w:rsidR="006C08A6" w:rsidRDefault="00000000">
            <w:pPr>
              <w:spacing w:after="0" w:line="259" w:lineRule="auto"/>
              <w:ind w:left="3" w:firstLine="0"/>
              <w:jc w:val="left"/>
            </w:pPr>
            <w:r>
              <w:rPr>
                <w:rFonts w:ascii="Calibri" w:eastAsia="Calibri" w:hAnsi="Calibri" w:cs="Calibri"/>
                <w:sz w:val="18"/>
              </w:rPr>
              <w:t>46.54</w:t>
            </w:r>
          </w:p>
        </w:tc>
        <w:tc>
          <w:tcPr>
            <w:tcW w:w="617" w:type="dxa"/>
            <w:tcBorders>
              <w:top w:val="single" w:sz="2" w:space="0" w:color="181717"/>
              <w:left w:val="single" w:sz="2" w:space="0" w:color="181717"/>
              <w:bottom w:val="single" w:sz="2" w:space="0" w:color="181717"/>
              <w:right w:val="single" w:sz="2" w:space="0" w:color="181717"/>
            </w:tcBorders>
          </w:tcPr>
          <w:p w14:paraId="2F7CDD95" w14:textId="77777777" w:rsidR="006C08A6" w:rsidRDefault="00000000">
            <w:pPr>
              <w:spacing w:after="0" w:line="259" w:lineRule="auto"/>
              <w:ind w:left="3" w:firstLine="0"/>
              <w:jc w:val="left"/>
            </w:pPr>
            <w:r>
              <w:rPr>
                <w:rFonts w:ascii="Calibri" w:eastAsia="Calibri" w:hAnsi="Calibri" w:cs="Calibri"/>
                <w:sz w:val="18"/>
              </w:rPr>
              <w:t>0.99</w:t>
            </w:r>
          </w:p>
        </w:tc>
        <w:tc>
          <w:tcPr>
            <w:tcW w:w="465" w:type="dxa"/>
            <w:tcBorders>
              <w:top w:val="single" w:sz="2" w:space="0" w:color="181717"/>
              <w:left w:val="single" w:sz="2" w:space="0" w:color="181717"/>
              <w:bottom w:val="single" w:sz="2" w:space="0" w:color="181717"/>
              <w:right w:val="single" w:sz="2" w:space="0" w:color="181717"/>
            </w:tcBorders>
          </w:tcPr>
          <w:p w14:paraId="644D6B47" w14:textId="77777777" w:rsidR="006C08A6" w:rsidRDefault="00000000">
            <w:pPr>
              <w:spacing w:after="0" w:line="259" w:lineRule="auto"/>
              <w:ind w:left="3" w:firstLine="0"/>
              <w:jc w:val="left"/>
            </w:pPr>
            <w:r>
              <w:rPr>
                <w:rFonts w:ascii="Calibri" w:eastAsia="Calibri" w:hAnsi="Calibri" w:cs="Calibri"/>
                <w:sz w:val="18"/>
              </w:rPr>
              <w:t>1.08</w:t>
            </w:r>
          </w:p>
        </w:tc>
        <w:tc>
          <w:tcPr>
            <w:tcW w:w="885" w:type="dxa"/>
            <w:tcBorders>
              <w:top w:val="single" w:sz="2" w:space="0" w:color="181717"/>
              <w:left w:val="single" w:sz="2" w:space="0" w:color="181717"/>
              <w:bottom w:val="single" w:sz="2" w:space="0" w:color="181717"/>
              <w:right w:val="single" w:sz="2" w:space="0" w:color="181717"/>
            </w:tcBorders>
          </w:tcPr>
          <w:p w14:paraId="09196DF2" w14:textId="77777777" w:rsidR="006C08A6" w:rsidRDefault="00000000">
            <w:pPr>
              <w:spacing w:after="0" w:line="259" w:lineRule="auto"/>
              <w:ind w:left="3" w:firstLine="0"/>
              <w:jc w:val="left"/>
            </w:pPr>
            <w:r>
              <w:rPr>
                <w:rFonts w:ascii="Calibri" w:eastAsia="Calibri" w:hAnsi="Calibri" w:cs="Calibri"/>
                <w:sz w:val="18"/>
              </w:rPr>
              <w:t>18.3</w:t>
            </w:r>
          </w:p>
        </w:tc>
        <w:tc>
          <w:tcPr>
            <w:tcW w:w="530" w:type="dxa"/>
            <w:tcBorders>
              <w:top w:val="single" w:sz="2" w:space="0" w:color="181717"/>
              <w:left w:val="single" w:sz="2" w:space="0" w:color="181717"/>
              <w:bottom w:val="single" w:sz="2" w:space="0" w:color="181717"/>
              <w:right w:val="single" w:sz="2" w:space="0" w:color="181717"/>
            </w:tcBorders>
          </w:tcPr>
          <w:p w14:paraId="2F9B86A7" w14:textId="77777777" w:rsidR="006C08A6" w:rsidRDefault="00000000">
            <w:pPr>
              <w:spacing w:after="0" w:line="259" w:lineRule="auto"/>
              <w:ind w:left="3" w:firstLine="0"/>
              <w:jc w:val="left"/>
            </w:pPr>
            <w:r>
              <w:rPr>
                <w:rFonts w:ascii="Calibri" w:eastAsia="Calibri" w:hAnsi="Calibri" w:cs="Calibri"/>
                <w:sz w:val="18"/>
              </w:rPr>
              <w:t>21.8</w:t>
            </w:r>
          </w:p>
        </w:tc>
      </w:tr>
      <w:tr w:rsidR="006C08A6" w14:paraId="039F5A8A" w14:textId="77777777">
        <w:trPr>
          <w:trHeight w:val="261"/>
        </w:trPr>
        <w:tc>
          <w:tcPr>
            <w:tcW w:w="534" w:type="dxa"/>
            <w:tcBorders>
              <w:top w:val="single" w:sz="2" w:space="0" w:color="181717"/>
              <w:left w:val="single" w:sz="2" w:space="0" w:color="181717"/>
              <w:bottom w:val="single" w:sz="2" w:space="0" w:color="181717"/>
              <w:right w:val="single" w:sz="2" w:space="0" w:color="181717"/>
            </w:tcBorders>
          </w:tcPr>
          <w:p w14:paraId="3F6CF99B" w14:textId="77777777" w:rsidR="006C08A6" w:rsidRDefault="00000000">
            <w:pPr>
              <w:spacing w:after="0" w:line="259" w:lineRule="auto"/>
              <w:ind w:left="3" w:firstLine="0"/>
              <w:jc w:val="left"/>
            </w:pPr>
            <w:r>
              <w:rPr>
                <w:rFonts w:ascii="Calibri" w:eastAsia="Calibri" w:hAnsi="Calibri" w:cs="Calibri"/>
                <w:sz w:val="18"/>
              </w:rPr>
              <w:t>117M</w:t>
            </w:r>
          </w:p>
        </w:tc>
        <w:tc>
          <w:tcPr>
            <w:tcW w:w="729" w:type="dxa"/>
            <w:tcBorders>
              <w:top w:val="single" w:sz="2" w:space="0" w:color="181717"/>
              <w:left w:val="single" w:sz="2" w:space="0" w:color="181717"/>
              <w:bottom w:val="single" w:sz="2" w:space="0" w:color="181717"/>
              <w:right w:val="single" w:sz="2" w:space="0" w:color="181717"/>
            </w:tcBorders>
          </w:tcPr>
          <w:p w14:paraId="52B07345" w14:textId="77777777" w:rsidR="006C08A6" w:rsidRDefault="00000000">
            <w:pPr>
              <w:spacing w:after="0" w:line="259" w:lineRule="auto"/>
              <w:ind w:left="3" w:firstLine="0"/>
              <w:jc w:val="left"/>
            </w:pPr>
            <w:r>
              <w:rPr>
                <w:rFonts w:ascii="Calibri" w:eastAsia="Calibri" w:hAnsi="Calibri" w:cs="Calibri"/>
                <w:sz w:val="18"/>
              </w:rPr>
              <w:t>35.13</w:t>
            </w:r>
          </w:p>
        </w:tc>
        <w:tc>
          <w:tcPr>
            <w:tcW w:w="729" w:type="dxa"/>
            <w:tcBorders>
              <w:top w:val="single" w:sz="2" w:space="0" w:color="181717"/>
              <w:left w:val="single" w:sz="2" w:space="0" w:color="181717"/>
              <w:bottom w:val="single" w:sz="2" w:space="0" w:color="181717"/>
              <w:right w:val="single" w:sz="2" w:space="0" w:color="181717"/>
            </w:tcBorders>
          </w:tcPr>
          <w:p w14:paraId="5642EE3D" w14:textId="77777777" w:rsidR="006C08A6" w:rsidRDefault="00000000">
            <w:pPr>
              <w:spacing w:after="0" w:line="259" w:lineRule="auto"/>
              <w:ind w:left="3" w:firstLine="0"/>
              <w:jc w:val="left"/>
            </w:pPr>
            <w:r>
              <w:rPr>
                <w:rFonts w:ascii="Calibri" w:eastAsia="Calibri" w:hAnsi="Calibri" w:cs="Calibri"/>
                <w:sz w:val="18"/>
              </w:rPr>
              <w:t>45.99</w:t>
            </w:r>
          </w:p>
        </w:tc>
        <w:tc>
          <w:tcPr>
            <w:tcW w:w="569" w:type="dxa"/>
            <w:tcBorders>
              <w:top w:val="single" w:sz="2" w:space="0" w:color="181717"/>
              <w:left w:val="single" w:sz="2" w:space="0" w:color="181717"/>
              <w:bottom w:val="single" w:sz="2" w:space="0" w:color="181717"/>
              <w:right w:val="single" w:sz="2" w:space="0" w:color="181717"/>
            </w:tcBorders>
          </w:tcPr>
          <w:p w14:paraId="60BA81A2" w14:textId="77777777" w:rsidR="006C08A6" w:rsidRDefault="00000000">
            <w:pPr>
              <w:spacing w:after="0" w:line="259" w:lineRule="auto"/>
              <w:ind w:left="3" w:firstLine="0"/>
              <w:jc w:val="left"/>
            </w:pPr>
            <w:r>
              <w:rPr>
                <w:rFonts w:ascii="Calibri" w:eastAsia="Calibri" w:hAnsi="Calibri" w:cs="Calibri"/>
                <w:sz w:val="18"/>
              </w:rPr>
              <w:t>87.65</w:t>
            </w:r>
          </w:p>
        </w:tc>
        <w:tc>
          <w:tcPr>
            <w:tcW w:w="567" w:type="dxa"/>
            <w:tcBorders>
              <w:top w:val="single" w:sz="2" w:space="0" w:color="181717"/>
              <w:left w:val="single" w:sz="2" w:space="0" w:color="181717"/>
              <w:bottom w:val="single" w:sz="2" w:space="0" w:color="181717"/>
              <w:right w:val="single" w:sz="2" w:space="0" w:color="181717"/>
            </w:tcBorders>
          </w:tcPr>
          <w:p w14:paraId="6E0C1E22" w14:textId="77777777" w:rsidR="006C08A6" w:rsidRDefault="00000000">
            <w:pPr>
              <w:spacing w:after="0" w:line="259" w:lineRule="auto"/>
              <w:ind w:left="3" w:firstLine="0"/>
              <w:jc w:val="left"/>
            </w:pPr>
            <w:r>
              <w:rPr>
                <w:rFonts w:ascii="Calibri" w:eastAsia="Calibri" w:hAnsi="Calibri" w:cs="Calibri"/>
                <w:sz w:val="18"/>
              </w:rPr>
              <w:t>83.4</w:t>
            </w:r>
          </w:p>
        </w:tc>
        <w:tc>
          <w:tcPr>
            <w:tcW w:w="738" w:type="dxa"/>
            <w:tcBorders>
              <w:top w:val="single" w:sz="2" w:space="0" w:color="181717"/>
              <w:left w:val="single" w:sz="2" w:space="0" w:color="181717"/>
              <w:bottom w:val="single" w:sz="2" w:space="0" w:color="181717"/>
              <w:right w:val="single" w:sz="2" w:space="0" w:color="181717"/>
            </w:tcBorders>
          </w:tcPr>
          <w:p w14:paraId="61ECE8F9" w14:textId="77777777" w:rsidR="006C08A6" w:rsidRDefault="00000000">
            <w:pPr>
              <w:spacing w:after="0" w:line="259" w:lineRule="auto"/>
              <w:ind w:left="3" w:firstLine="0"/>
              <w:jc w:val="left"/>
            </w:pPr>
            <w:r>
              <w:rPr>
                <w:rFonts w:ascii="Calibri" w:eastAsia="Calibri" w:hAnsi="Calibri" w:cs="Calibri"/>
                <w:sz w:val="18"/>
              </w:rPr>
              <w:t>29.41</w:t>
            </w:r>
          </w:p>
        </w:tc>
        <w:tc>
          <w:tcPr>
            <w:tcW w:w="461" w:type="dxa"/>
            <w:tcBorders>
              <w:top w:val="single" w:sz="2" w:space="0" w:color="181717"/>
              <w:left w:val="single" w:sz="2" w:space="0" w:color="181717"/>
              <w:bottom w:val="single" w:sz="2" w:space="0" w:color="181717"/>
              <w:right w:val="single" w:sz="2" w:space="0" w:color="181717"/>
            </w:tcBorders>
          </w:tcPr>
          <w:p w14:paraId="58B28494" w14:textId="77777777" w:rsidR="006C08A6" w:rsidRDefault="00000000">
            <w:pPr>
              <w:spacing w:after="0" w:line="259" w:lineRule="auto"/>
              <w:ind w:left="3" w:firstLine="0"/>
              <w:jc w:val="left"/>
            </w:pPr>
            <w:r>
              <w:rPr>
                <w:rFonts w:ascii="Calibri" w:eastAsia="Calibri" w:hAnsi="Calibri" w:cs="Calibri"/>
                <w:sz w:val="18"/>
              </w:rPr>
              <w:t>65.85</w:t>
            </w:r>
          </w:p>
        </w:tc>
        <w:tc>
          <w:tcPr>
            <w:tcW w:w="617" w:type="dxa"/>
            <w:tcBorders>
              <w:top w:val="single" w:sz="2" w:space="0" w:color="181717"/>
              <w:left w:val="single" w:sz="2" w:space="0" w:color="181717"/>
              <w:bottom w:val="single" w:sz="2" w:space="0" w:color="181717"/>
              <w:right w:val="single" w:sz="2" w:space="0" w:color="181717"/>
            </w:tcBorders>
          </w:tcPr>
          <w:p w14:paraId="5394FFBA" w14:textId="77777777" w:rsidR="006C08A6" w:rsidRDefault="00000000">
            <w:pPr>
              <w:spacing w:after="0" w:line="259" w:lineRule="auto"/>
              <w:ind w:left="3" w:firstLine="0"/>
              <w:jc w:val="left"/>
            </w:pPr>
            <w:r>
              <w:rPr>
                <w:rFonts w:ascii="Calibri" w:eastAsia="Calibri" w:hAnsi="Calibri" w:cs="Calibri"/>
                <w:sz w:val="18"/>
              </w:rPr>
              <w:t>1.16</w:t>
            </w:r>
          </w:p>
        </w:tc>
        <w:tc>
          <w:tcPr>
            <w:tcW w:w="465" w:type="dxa"/>
            <w:tcBorders>
              <w:top w:val="single" w:sz="2" w:space="0" w:color="181717"/>
              <w:left w:val="single" w:sz="2" w:space="0" w:color="181717"/>
              <w:bottom w:val="single" w:sz="2" w:space="0" w:color="181717"/>
              <w:right w:val="single" w:sz="2" w:space="0" w:color="181717"/>
            </w:tcBorders>
          </w:tcPr>
          <w:p w14:paraId="162353DF" w14:textId="77777777" w:rsidR="006C08A6" w:rsidRDefault="00000000">
            <w:pPr>
              <w:spacing w:after="0" w:line="259" w:lineRule="auto"/>
              <w:ind w:left="3" w:firstLine="0"/>
              <w:jc w:val="left"/>
            </w:pPr>
            <w:r>
              <w:rPr>
                <w:rFonts w:ascii="Calibri" w:eastAsia="Calibri" w:hAnsi="Calibri" w:cs="Calibri"/>
                <w:sz w:val="18"/>
              </w:rPr>
              <w:t>1.17</w:t>
            </w:r>
          </w:p>
        </w:tc>
        <w:tc>
          <w:tcPr>
            <w:tcW w:w="885" w:type="dxa"/>
            <w:tcBorders>
              <w:top w:val="single" w:sz="2" w:space="0" w:color="181717"/>
              <w:left w:val="single" w:sz="2" w:space="0" w:color="181717"/>
              <w:bottom w:val="single" w:sz="2" w:space="0" w:color="181717"/>
              <w:right w:val="single" w:sz="2" w:space="0" w:color="181717"/>
            </w:tcBorders>
          </w:tcPr>
          <w:p w14:paraId="6455488F" w14:textId="77777777" w:rsidR="006C08A6" w:rsidRDefault="00000000">
            <w:pPr>
              <w:spacing w:after="0" w:line="259" w:lineRule="auto"/>
              <w:ind w:left="3" w:firstLine="0"/>
              <w:jc w:val="left"/>
            </w:pPr>
            <w:r>
              <w:rPr>
                <w:rFonts w:ascii="Calibri" w:eastAsia="Calibri" w:hAnsi="Calibri" w:cs="Calibri"/>
                <w:sz w:val="18"/>
              </w:rPr>
              <w:t>37.50</w:t>
            </w:r>
          </w:p>
        </w:tc>
        <w:tc>
          <w:tcPr>
            <w:tcW w:w="530" w:type="dxa"/>
            <w:tcBorders>
              <w:top w:val="single" w:sz="2" w:space="0" w:color="181717"/>
              <w:left w:val="single" w:sz="2" w:space="0" w:color="181717"/>
              <w:bottom w:val="single" w:sz="2" w:space="0" w:color="181717"/>
              <w:right w:val="single" w:sz="2" w:space="0" w:color="181717"/>
            </w:tcBorders>
          </w:tcPr>
          <w:p w14:paraId="36CD78C8" w14:textId="77777777" w:rsidR="006C08A6" w:rsidRDefault="00000000">
            <w:pPr>
              <w:spacing w:after="0" w:line="259" w:lineRule="auto"/>
              <w:ind w:left="3" w:firstLine="0"/>
              <w:jc w:val="left"/>
            </w:pPr>
            <w:r>
              <w:rPr>
                <w:rFonts w:ascii="Calibri" w:eastAsia="Calibri" w:hAnsi="Calibri" w:cs="Calibri"/>
                <w:sz w:val="18"/>
              </w:rPr>
              <w:t>75.20</w:t>
            </w:r>
          </w:p>
        </w:tc>
      </w:tr>
      <w:tr w:rsidR="006C08A6" w14:paraId="739B389B" w14:textId="77777777">
        <w:trPr>
          <w:trHeight w:val="261"/>
        </w:trPr>
        <w:tc>
          <w:tcPr>
            <w:tcW w:w="534" w:type="dxa"/>
            <w:tcBorders>
              <w:top w:val="single" w:sz="2" w:space="0" w:color="181717"/>
              <w:left w:val="single" w:sz="2" w:space="0" w:color="181717"/>
              <w:bottom w:val="single" w:sz="2" w:space="0" w:color="181717"/>
              <w:right w:val="single" w:sz="2" w:space="0" w:color="181717"/>
            </w:tcBorders>
          </w:tcPr>
          <w:p w14:paraId="1361175C" w14:textId="77777777" w:rsidR="006C08A6" w:rsidRDefault="00000000">
            <w:pPr>
              <w:spacing w:after="0" w:line="259" w:lineRule="auto"/>
              <w:ind w:left="3" w:firstLine="0"/>
              <w:jc w:val="left"/>
            </w:pPr>
            <w:r>
              <w:rPr>
                <w:rFonts w:ascii="Calibri" w:eastAsia="Calibri" w:hAnsi="Calibri" w:cs="Calibri"/>
                <w:sz w:val="18"/>
              </w:rPr>
              <w:t>345M</w:t>
            </w:r>
          </w:p>
        </w:tc>
        <w:tc>
          <w:tcPr>
            <w:tcW w:w="729" w:type="dxa"/>
            <w:tcBorders>
              <w:top w:val="single" w:sz="2" w:space="0" w:color="181717"/>
              <w:left w:val="single" w:sz="2" w:space="0" w:color="181717"/>
              <w:bottom w:val="single" w:sz="2" w:space="0" w:color="181717"/>
              <w:right w:val="single" w:sz="2" w:space="0" w:color="181717"/>
            </w:tcBorders>
          </w:tcPr>
          <w:p w14:paraId="0EC9D2E1" w14:textId="77777777" w:rsidR="006C08A6" w:rsidRDefault="00000000">
            <w:pPr>
              <w:spacing w:after="0" w:line="259" w:lineRule="auto"/>
              <w:ind w:left="3" w:firstLine="0"/>
              <w:jc w:val="left"/>
            </w:pPr>
            <w:r>
              <w:rPr>
                <w:rFonts w:ascii="Calibri" w:eastAsia="Calibri" w:hAnsi="Calibri" w:cs="Calibri"/>
                <w:sz w:val="18"/>
              </w:rPr>
              <w:t>15.60</w:t>
            </w:r>
          </w:p>
        </w:tc>
        <w:tc>
          <w:tcPr>
            <w:tcW w:w="729" w:type="dxa"/>
            <w:tcBorders>
              <w:top w:val="single" w:sz="2" w:space="0" w:color="181717"/>
              <w:left w:val="single" w:sz="2" w:space="0" w:color="181717"/>
              <w:bottom w:val="single" w:sz="2" w:space="0" w:color="181717"/>
              <w:right w:val="single" w:sz="2" w:space="0" w:color="181717"/>
            </w:tcBorders>
          </w:tcPr>
          <w:p w14:paraId="6FABCCE4" w14:textId="77777777" w:rsidR="006C08A6" w:rsidRDefault="00000000">
            <w:pPr>
              <w:spacing w:after="0" w:line="259" w:lineRule="auto"/>
              <w:ind w:left="3" w:firstLine="0"/>
              <w:jc w:val="left"/>
            </w:pPr>
            <w:r>
              <w:rPr>
                <w:rFonts w:ascii="Calibri" w:eastAsia="Calibri" w:hAnsi="Calibri" w:cs="Calibri"/>
                <w:sz w:val="18"/>
              </w:rPr>
              <w:t>55.48</w:t>
            </w:r>
          </w:p>
        </w:tc>
        <w:tc>
          <w:tcPr>
            <w:tcW w:w="569" w:type="dxa"/>
            <w:tcBorders>
              <w:top w:val="single" w:sz="2" w:space="0" w:color="181717"/>
              <w:left w:val="single" w:sz="2" w:space="0" w:color="181717"/>
              <w:bottom w:val="single" w:sz="2" w:space="0" w:color="181717"/>
              <w:right w:val="single" w:sz="2" w:space="0" w:color="181717"/>
            </w:tcBorders>
          </w:tcPr>
          <w:p w14:paraId="2CE027C9" w14:textId="77777777" w:rsidR="006C08A6" w:rsidRDefault="00000000">
            <w:pPr>
              <w:spacing w:after="0" w:line="259" w:lineRule="auto"/>
              <w:ind w:left="3" w:firstLine="0"/>
              <w:jc w:val="left"/>
            </w:pPr>
            <w:r>
              <w:rPr>
                <w:rFonts w:ascii="Calibri" w:eastAsia="Calibri" w:hAnsi="Calibri" w:cs="Calibri"/>
                <w:sz w:val="18"/>
              </w:rPr>
              <w:t>92.35</w:t>
            </w:r>
          </w:p>
        </w:tc>
        <w:tc>
          <w:tcPr>
            <w:tcW w:w="567" w:type="dxa"/>
            <w:tcBorders>
              <w:top w:val="single" w:sz="2" w:space="0" w:color="181717"/>
              <w:left w:val="single" w:sz="2" w:space="0" w:color="181717"/>
              <w:bottom w:val="single" w:sz="2" w:space="0" w:color="181717"/>
              <w:right w:val="single" w:sz="2" w:space="0" w:color="181717"/>
            </w:tcBorders>
          </w:tcPr>
          <w:p w14:paraId="2E6325A9" w14:textId="77777777" w:rsidR="006C08A6" w:rsidRDefault="00000000">
            <w:pPr>
              <w:spacing w:after="0" w:line="259" w:lineRule="auto"/>
              <w:ind w:left="3" w:firstLine="0"/>
              <w:jc w:val="left"/>
            </w:pPr>
            <w:r>
              <w:rPr>
                <w:rFonts w:ascii="Calibri" w:eastAsia="Calibri" w:hAnsi="Calibri" w:cs="Calibri"/>
                <w:sz w:val="18"/>
              </w:rPr>
              <w:t>87.1</w:t>
            </w:r>
          </w:p>
        </w:tc>
        <w:tc>
          <w:tcPr>
            <w:tcW w:w="738" w:type="dxa"/>
            <w:tcBorders>
              <w:top w:val="single" w:sz="2" w:space="0" w:color="181717"/>
              <w:left w:val="single" w:sz="2" w:space="0" w:color="181717"/>
              <w:bottom w:val="single" w:sz="2" w:space="0" w:color="181717"/>
              <w:right w:val="single" w:sz="2" w:space="0" w:color="181717"/>
            </w:tcBorders>
          </w:tcPr>
          <w:p w14:paraId="2CA87D7E" w14:textId="77777777" w:rsidR="006C08A6" w:rsidRDefault="00000000">
            <w:pPr>
              <w:spacing w:after="0" w:line="259" w:lineRule="auto"/>
              <w:ind w:left="3" w:firstLine="0"/>
              <w:jc w:val="left"/>
            </w:pPr>
            <w:r>
              <w:rPr>
                <w:rFonts w:ascii="Calibri" w:eastAsia="Calibri" w:hAnsi="Calibri" w:cs="Calibri"/>
                <w:sz w:val="18"/>
              </w:rPr>
              <w:t>22.76</w:t>
            </w:r>
          </w:p>
        </w:tc>
        <w:tc>
          <w:tcPr>
            <w:tcW w:w="461" w:type="dxa"/>
            <w:tcBorders>
              <w:top w:val="single" w:sz="2" w:space="0" w:color="181717"/>
              <w:left w:val="single" w:sz="2" w:space="0" w:color="181717"/>
              <w:bottom w:val="single" w:sz="2" w:space="0" w:color="181717"/>
              <w:right w:val="single" w:sz="2" w:space="0" w:color="181717"/>
            </w:tcBorders>
          </w:tcPr>
          <w:p w14:paraId="56E30DFC" w14:textId="77777777" w:rsidR="006C08A6" w:rsidRDefault="00000000">
            <w:pPr>
              <w:spacing w:after="0" w:line="259" w:lineRule="auto"/>
              <w:ind w:left="3" w:firstLine="0"/>
              <w:jc w:val="left"/>
            </w:pPr>
            <w:r>
              <w:rPr>
                <w:rFonts w:ascii="Calibri" w:eastAsia="Calibri" w:hAnsi="Calibri" w:cs="Calibri"/>
                <w:sz w:val="18"/>
              </w:rPr>
              <w:t>47.33</w:t>
            </w:r>
          </w:p>
        </w:tc>
        <w:tc>
          <w:tcPr>
            <w:tcW w:w="617" w:type="dxa"/>
            <w:tcBorders>
              <w:top w:val="single" w:sz="2" w:space="0" w:color="181717"/>
              <w:left w:val="single" w:sz="2" w:space="0" w:color="181717"/>
              <w:bottom w:val="single" w:sz="2" w:space="0" w:color="181717"/>
              <w:right w:val="single" w:sz="2" w:space="0" w:color="181717"/>
            </w:tcBorders>
          </w:tcPr>
          <w:p w14:paraId="5F9C53C3" w14:textId="77777777" w:rsidR="006C08A6" w:rsidRDefault="00000000">
            <w:pPr>
              <w:spacing w:after="0" w:line="259" w:lineRule="auto"/>
              <w:ind w:left="3" w:firstLine="0"/>
              <w:jc w:val="left"/>
            </w:pPr>
            <w:r>
              <w:rPr>
                <w:rFonts w:ascii="Calibri" w:eastAsia="Calibri" w:hAnsi="Calibri" w:cs="Calibri"/>
                <w:sz w:val="18"/>
              </w:rPr>
              <w:t>1.01</w:t>
            </w:r>
          </w:p>
        </w:tc>
        <w:tc>
          <w:tcPr>
            <w:tcW w:w="465" w:type="dxa"/>
            <w:tcBorders>
              <w:top w:val="single" w:sz="2" w:space="0" w:color="181717"/>
              <w:left w:val="single" w:sz="2" w:space="0" w:color="181717"/>
              <w:bottom w:val="single" w:sz="2" w:space="0" w:color="181717"/>
              <w:right w:val="single" w:sz="2" w:space="0" w:color="181717"/>
            </w:tcBorders>
          </w:tcPr>
          <w:p w14:paraId="0B464A2B" w14:textId="77777777" w:rsidR="006C08A6" w:rsidRDefault="00000000">
            <w:pPr>
              <w:spacing w:after="0" w:line="259" w:lineRule="auto"/>
              <w:ind w:left="3" w:firstLine="0"/>
              <w:jc w:val="left"/>
            </w:pPr>
            <w:r>
              <w:rPr>
                <w:rFonts w:ascii="Calibri" w:eastAsia="Calibri" w:hAnsi="Calibri" w:cs="Calibri"/>
                <w:sz w:val="18"/>
              </w:rPr>
              <w:t>1.06</w:t>
            </w:r>
          </w:p>
        </w:tc>
        <w:tc>
          <w:tcPr>
            <w:tcW w:w="885" w:type="dxa"/>
            <w:tcBorders>
              <w:top w:val="single" w:sz="2" w:space="0" w:color="181717"/>
              <w:left w:val="single" w:sz="2" w:space="0" w:color="181717"/>
              <w:bottom w:val="single" w:sz="2" w:space="0" w:color="181717"/>
              <w:right w:val="single" w:sz="2" w:space="0" w:color="181717"/>
            </w:tcBorders>
          </w:tcPr>
          <w:p w14:paraId="2297FD6F" w14:textId="77777777" w:rsidR="006C08A6" w:rsidRDefault="00000000">
            <w:pPr>
              <w:spacing w:after="0" w:line="259" w:lineRule="auto"/>
              <w:ind w:left="3" w:firstLine="0"/>
              <w:jc w:val="left"/>
            </w:pPr>
            <w:r>
              <w:rPr>
                <w:rFonts w:ascii="Calibri" w:eastAsia="Calibri" w:hAnsi="Calibri" w:cs="Calibri"/>
                <w:sz w:val="18"/>
              </w:rPr>
              <w:t>26.37</w:t>
            </w:r>
          </w:p>
        </w:tc>
        <w:tc>
          <w:tcPr>
            <w:tcW w:w="530" w:type="dxa"/>
            <w:tcBorders>
              <w:top w:val="single" w:sz="2" w:space="0" w:color="181717"/>
              <w:left w:val="single" w:sz="2" w:space="0" w:color="181717"/>
              <w:bottom w:val="single" w:sz="2" w:space="0" w:color="181717"/>
              <w:right w:val="single" w:sz="2" w:space="0" w:color="181717"/>
            </w:tcBorders>
          </w:tcPr>
          <w:p w14:paraId="3BE24C70" w14:textId="77777777" w:rsidR="006C08A6" w:rsidRDefault="00000000">
            <w:pPr>
              <w:spacing w:after="0" w:line="259" w:lineRule="auto"/>
              <w:ind w:left="3" w:firstLine="0"/>
              <w:jc w:val="left"/>
            </w:pPr>
            <w:r>
              <w:rPr>
                <w:rFonts w:ascii="Calibri" w:eastAsia="Calibri" w:hAnsi="Calibri" w:cs="Calibri"/>
                <w:sz w:val="18"/>
              </w:rPr>
              <w:t>55.72</w:t>
            </w:r>
          </w:p>
        </w:tc>
      </w:tr>
      <w:tr w:rsidR="006C08A6" w14:paraId="491A3283" w14:textId="77777777">
        <w:trPr>
          <w:trHeight w:val="261"/>
        </w:trPr>
        <w:tc>
          <w:tcPr>
            <w:tcW w:w="534" w:type="dxa"/>
            <w:tcBorders>
              <w:top w:val="single" w:sz="2" w:space="0" w:color="181717"/>
              <w:left w:val="single" w:sz="2" w:space="0" w:color="181717"/>
              <w:bottom w:val="single" w:sz="2" w:space="0" w:color="181717"/>
              <w:right w:val="single" w:sz="2" w:space="0" w:color="181717"/>
            </w:tcBorders>
          </w:tcPr>
          <w:p w14:paraId="24D77CEF" w14:textId="77777777" w:rsidR="006C08A6" w:rsidRDefault="00000000">
            <w:pPr>
              <w:spacing w:after="0" w:line="259" w:lineRule="auto"/>
              <w:ind w:left="3" w:firstLine="0"/>
              <w:jc w:val="left"/>
            </w:pPr>
            <w:r>
              <w:rPr>
                <w:rFonts w:ascii="Calibri" w:eastAsia="Calibri" w:hAnsi="Calibri" w:cs="Calibri"/>
                <w:sz w:val="18"/>
              </w:rPr>
              <w:t>762M</w:t>
            </w:r>
          </w:p>
        </w:tc>
        <w:tc>
          <w:tcPr>
            <w:tcW w:w="729" w:type="dxa"/>
            <w:tcBorders>
              <w:top w:val="single" w:sz="2" w:space="0" w:color="181717"/>
              <w:left w:val="single" w:sz="2" w:space="0" w:color="181717"/>
              <w:bottom w:val="single" w:sz="2" w:space="0" w:color="181717"/>
              <w:right w:val="single" w:sz="2" w:space="0" w:color="181717"/>
            </w:tcBorders>
          </w:tcPr>
          <w:p w14:paraId="79E0A294" w14:textId="77777777" w:rsidR="006C08A6" w:rsidRDefault="00000000">
            <w:pPr>
              <w:spacing w:after="0" w:line="259" w:lineRule="auto"/>
              <w:ind w:left="3" w:firstLine="0"/>
              <w:jc w:val="left"/>
            </w:pPr>
            <w:r>
              <w:rPr>
                <w:rFonts w:ascii="Calibri" w:eastAsia="Calibri" w:hAnsi="Calibri" w:cs="Calibri"/>
                <w:sz w:val="18"/>
              </w:rPr>
              <w:t>10.87</w:t>
            </w:r>
          </w:p>
        </w:tc>
        <w:tc>
          <w:tcPr>
            <w:tcW w:w="729" w:type="dxa"/>
            <w:tcBorders>
              <w:top w:val="single" w:sz="2" w:space="0" w:color="181717"/>
              <w:left w:val="single" w:sz="2" w:space="0" w:color="181717"/>
              <w:bottom w:val="single" w:sz="2" w:space="0" w:color="181717"/>
              <w:right w:val="single" w:sz="2" w:space="0" w:color="181717"/>
            </w:tcBorders>
          </w:tcPr>
          <w:p w14:paraId="39CA0C17" w14:textId="77777777" w:rsidR="006C08A6" w:rsidRDefault="00000000">
            <w:pPr>
              <w:spacing w:after="0" w:line="259" w:lineRule="auto"/>
              <w:ind w:left="3" w:firstLine="0"/>
              <w:jc w:val="left"/>
            </w:pPr>
            <w:r>
              <w:rPr>
                <w:rFonts w:ascii="Calibri" w:eastAsia="Calibri" w:hAnsi="Calibri" w:cs="Calibri"/>
                <w:sz w:val="18"/>
              </w:rPr>
              <w:t>60.12</w:t>
            </w:r>
          </w:p>
        </w:tc>
        <w:tc>
          <w:tcPr>
            <w:tcW w:w="569" w:type="dxa"/>
            <w:tcBorders>
              <w:top w:val="single" w:sz="2" w:space="0" w:color="181717"/>
              <w:left w:val="single" w:sz="2" w:space="0" w:color="181717"/>
              <w:bottom w:val="single" w:sz="2" w:space="0" w:color="181717"/>
              <w:right w:val="single" w:sz="2" w:space="0" w:color="181717"/>
            </w:tcBorders>
          </w:tcPr>
          <w:p w14:paraId="173E9FCE" w14:textId="77777777" w:rsidR="006C08A6" w:rsidRDefault="00000000">
            <w:pPr>
              <w:spacing w:after="0" w:line="259" w:lineRule="auto"/>
              <w:ind w:left="3" w:firstLine="0"/>
              <w:jc w:val="left"/>
            </w:pPr>
            <w:r>
              <w:rPr>
                <w:rFonts w:ascii="Calibri" w:eastAsia="Calibri" w:hAnsi="Calibri" w:cs="Calibri"/>
                <w:sz w:val="18"/>
              </w:rPr>
              <w:t>93.45</w:t>
            </w:r>
          </w:p>
        </w:tc>
        <w:tc>
          <w:tcPr>
            <w:tcW w:w="567" w:type="dxa"/>
            <w:tcBorders>
              <w:top w:val="single" w:sz="2" w:space="0" w:color="181717"/>
              <w:left w:val="single" w:sz="2" w:space="0" w:color="181717"/>
              <w:bottom w:val="single" w:sz="2" w:space="0" w:color="181717"/>
              <w:right w:val="single" w:sz="2" w:space="0" w:color="181717"/>
            </w:tcBorders>
          </w:tcPr>
          <w:p w14:paraId="58856652" w14:textId="77777777" w:rsidR="006C08A6" w:rsidRDefault="00000000">
            <w:pPr>
              <w:spacing w:after="0" w:line="259" w:lineRule="auto"/>
              <w:ind w:left="3" w:firstLine="0"/>
              <w:jc w:val="left"/>
            </w:pPr>
            <w:r>
              <w:rPr>
                <w:rFonts w:ascii="Calibri" w:eastAsia="Calibri" w:hAnsi="Calibri" w:cs="Calibri"/>
                <w:sz w:val="18"/>
              </w:rPr>
              <w:t>88.0</w:t>
            </w:r>
          </w:p>
        </w:tc>
        <w:tc>
          <w:tcPr>
            <w:tcW w:w="738" w:type="dxa"/>
            <w:tcBorders>
              <w:top w:val="single" w:sz="2" w:space="0" w:color="181717"/>
              <w:left w:val="single" w:sz="2" w:space="0" w:color="181717"/>
              <w:bottom w:val="single" w:sz="2" w:space="0" w:color="181717"/>
              <w:right w:val="single" w:sz="2" w:space="0" w:color="181717"/>
            </w:tcBorders>
          </w:tcPr>
          <w:p w14:paraId="10B33261" w14:textId="77777777" w:rsidR="006C08A6" w:rsidRDefault="00000000">
            <w:pPr>
              <w:spacing w:after="0" w:line="259" w:lineRule="auto"/>
              <w:ind w:left="3" w:firstLine="0"/>
              <w:jc w:val="left"/>
            </w:pPr>
            <w:r>
              <w:rPr>
                <w:rFonts w:ascii="Calibri" w:eastAsia="Calibri" w:hAnsi="Calibri" w:cs="Calibri"/>
                <w:sz w:val="18"/>
              </w:rPr>
              <w:t>19.93</w:t>
            </w:r>
          </w:p>
        </w:tc>
        <w:tc>
          <w:tcPr>
            <w:tcW w:w="461" w:type="dxa"/>
            <w:tcBorders>
              <w:top w:val="single" w:sz="2" w:space="0" w:color="181717"/>
              <w:left w:val="single" w:sz="2" w:space="0" w:color="181717"/>
              <w:bottom w:val="single" w:sz="2" w:space="0" w:color="181717"/>
              <w:right w:val="single" w:sz="2" w:space="0" w:color="181717"/>
            </w:tcBorders>
          </w:tcPr>
          <w:p w14:paraId="45A07DDE" w14:textId="77777777" w:rsidR="006C08A6" w:rsidRDefault="00000000">
            <w:pPr>
              <w:spacing w:after="0" w:line="259" w:lineRule="auto"/>
              <w:ind w:left="3" w:firstLine="0"/>
              <w:jc w:val="left"/>
            </w:pPr>
            <w:r>
              <w:rPr>
                <w:rFonts w:ascii="Calibri" w:eastAsia="Calibri" w:hAnsi="Calibri" w:cs="Calibri"/>
                <w:sz w:val="18"/>
              </w:rPr>
              <w:t>40.31</w:t>
            </w:r>
          </w:p>
        </w:tc>
        <w:tc>
          <w:tcPr>
            <w:tcW w:w="617" w:type="dxa"/>
            <w:tcBorders>
              <w:top w:val="single" w:sz="2" w:space="0" w:color="181717"/>
              <w:left w:val="single" w:sz="2" w:space="0" w:color="181717"/>
              <w:bottom w:val="single" w:sz="2" w:space="0" w:color="181717"/>
              <w:right w:val="single" w:sz="2" w:space="0" w:color="181717"/>
            </w:tcBorders>
          </w:tcPr>
          <w:p w14:paraId="39098431" w14:textId="77777777" w:rsidR="006C08A6" w:rsidRDefault="00000000">
            <w:pPr>
              <w:spacing w:after="0" w:line="259" w:lineRule="auto"/>
              <w:ind w:left="3" w:firstLine="0"/>
              <w:jc w:val="left"/>
            </w:pPr>
            <w:r>
              <w:rPr>
                <w:rFonts w:ascii="Calibri" w:eastAsia="Calibri" w:hAnsi="Calibri" w:cs="Calibri"/>
                <w:sz w:val="18"/>
              </w:rPr>
              <w:t>0.97</w:t>
            </w:r>
          </w:p>
        </w:tc>
        <w:tc>
          <w:tcPr>
            <w:tcW w:w="465" w:type="dxa"/>
            <w:tcBorders>
              <w:top w:val="single" w:sz="2" w:space="0" w:color="181717"/>
              <w:left w:val="single" w:sz="2" w:space="0" w:color="181717"/>
              <w:bottom w:val="single" w:sz="2" w:space="0" w:color="181717"/>
              <w:right w:val="single" w:sz="2" w:space="0" w:color="181717"/>
            </w:tcBorders>
          </w:tcPr>
          <w:p w14:paraId="3D211DC6" w14:textId="77777777" w:rsidR="006C08A6" w:rsidRDefault="00000000">
            <w:pPr>
              <w:spacing w:after="0" w:line="259" w:lineRule="auto"/>
              <w:ind w:left="3" w:firstLine="0"/>
              <w:jc w:val="left"/>
            </w:pPr>
            <w:r>
              <w:rPr>
                <w:rFonts w:ascii="Calibri" w:eastAsia="Calibri" w:hAnsi="Calibri" w:cs="Calibri"/>
                <w:sz w:val="18"/>
              </w:rPr>
              <w:t>1.02</w:t>
            </w:r>
          </w:p>
        </w:tc>
        <w:tc>
          <w:tcPr>
            <w:tcW w:w="885" w:type="dxa"/>
            <w:tcBorders>
              <w:top w:val="single" w:sz="2" w:space="0" w:color="181717"/>
              <w:left w:val="single" w:sz="2" w:space="0" w:color="181717"/>
              <w:bottom w:val="single" w:sz="2" w:space="0" w:color="181717"/>
              <w:right w:val="single" w:sz="2" w:space="0" w:color="181717"/>
            </w:tcBorders>
          </w:tcPr>
          <w:p w14:paraId="3A8003D4" w14:textId="77777777" w:rsidR="006C08A6" w:rsidRDefault="00000000">
            <w:pPr>
              <w:spacing w:after="0" w:line="259" w:lineRule="auto"/>
              <w:ind w:left="3" w:firstLine="0"/>
              <w:jc w:val="left"/>
            </w:pPr>
            <w:r>
              <w:rPr>
                <w:rFonts w:ascii="Calibri" w:eastAsia="Calibri" w:hAnsi="Calibri" w:cs="Calibri"/>
                <w:sz w:val="18"/>
              </w:rPr>
              <w:t>22.05</w:t>
            </w:r>
          </w:p>
        </w:tc>
        <w:tc>
          <w:tcPr>
            <w:tcW w:w="530" w:type="dxa"/>
            <w:tcBorders>
              <w:top w:val="single" w:sz="2" w:space="0" w:color="181717"/>
              <w:left w:val="single" w:sz="2" w:space="0" w:color="181717"/>
              <w:bottom w:val="single" w:sz="2" w:space="0" w:color="181717"/>
              <w:right w:val="single" w:sz="2" w:space="0" w:color="181717"/>
            </w:tcBorders>
          </w:tcPr>
          <w:p w14:paraId="5C1FC01E" w14:textId="77777777" w:rsidR="006C08A6" w:rsidRDefault="00000000">
            <w:pPr>
              <w:spacing w:after="0" w:line="259" w:lineRule="auto"/>
              <w:ind w:left="3" w:firstLine="0"/>
              <w:jc w:val="left"/>
            </w:pPr>
            <w:r>
              <w:rPr>
                <w:rFonts w:ascii="Calibri" w:eastAsia="Calibri" w:hAnsi="Calibri" w:cs="Calibri"/>
                <w:sz w:val="18"/>
              </w:rPr>
              <w:t>44.575</w:t>
            </w:r>
          </w:p>
        </w:tc>
      </w:tr>
      <w:tr w:rsidR="006C08A6" w14:paraId="5B9CED59" w14:textId="77777777">
        <w:trPr>
          <w:trHeight w:val="261"/>
        </w:trPr>
        <w:tc>
          <w:tcPr>
            <w:tcW w:w="534" w:type="dxa"/>
            <w:tcBorders>
              <w:top w:val="single" w:sz="2" w:space="0" w:color="181717"/>
              <w:left w:val="single" w:sz="2" w:space="0" w:color="181717"/>
              <w:bottom w:val="single" w:sz="2" w:space="0" w:color="181717"/>
              <w:right w:val="single" w:sz="2" w:space="0" w:color="181717"/>
            </w:tcBorders>
          </w:tcPr>
          <w:p w14:paraId="0D10AFD9" w14:textId="77777777" w:rsidR="006C08A6" w:rsidRDefault="00000000">
            <w:pPr>
              <w:spacing w:after="0" w:line="259" w:lineRule="auto"/>
              <w:ind w:left="3" w:firstLine="0"/>
            </w:pPr>
            <w:r>
              <w:rPr>
                <w:rFonts w:ascii="Calibri" w:eastAsia="Calibri" w:hAnsi="Calibri" w:cs="Calibri"/>
                <w:sz w:val="18"/>
              </w:rPr>
              <w:t>1542M</w:t>
            </w:r>
          </w:p>
        </w:tc>
        <w:tc>
          <w:tcPr>
            <w:tcW w:w="729" w:type="dxa"/>
            <w:tcBorders>
              <w:top w:val="single" w:sz="2" w:space="0" w:color="181717"/>
              <w:left w:val="single" w:sz="2" w:space="0" w:color="181717"/>
              <w:bottom w:val="single" w:sz="2" w:space="0" w:color="181717"/>
              <w:right w:val="single" w:sz="2" w:space="0" w:color="181717"/>
            </w:tcBorders>
          </w:tcPr>
          <w:p w14:paraId="5436CCA8" w14:textId="77777777" w:rsidR="006C08A6" w:rsidRDefault="00000000">
            <w:pPr>
              <w:spacing w:after="0" w:line="259" w:lineRule="auto"/>
              <w:ind w:left="3" w:firstLine="0"/>
              <w:jc w:val="left"/>
            </w:pPr>
            <w:r>
              <w:rPr>
                <w:rFonts w:ascii="Calibri" w:eastAsia="Calibri" w:hAnsi="Calibri" w:cs="Calibri"/>
                <w:sz w:val="18"/>
              </w:rPr>
              <w:t>8.63</w:t>
            </w:r>
          </w:p>
        </w:tc>
        <w:tc>
          <w:tcPr>
            <w:tcW w:w="729" w:type="dxa"/>
            <w:tcBorders>
              <w:top w:val="single" w:sz="2" w:space="0" w:color="181717"/>
              <w:left w:val="single" w:sz="2" w:space="0" w:color="181717"/>
              <w:bottom w:val="single" w:sz="2" w:space="0" w:color="181717"/>
              <w:right w:val="single" w:sz="2" w:space="0" w:color="181717"/>
            </w:tcBorders>
          </w:tcPr>
          <w:p w14:paraId="5556250B" w14:textId="77777777" w:rsidR="006C08A6" w:rsidRDefault="00000000">
            <w:pPr>
              <w:spacing w:after="0" w:line="259" w:lineRule="auto"/>
              <w:ind w:left="3" w:firstLine="0"/>
              <w:jc w:val="left"/>
            </w:pPr>
            <w:r>
              <w:rPr>
                <w:rFonts w:ascii="Calibri" w:eastAsia="Calibri" w:hAnsi="Calibri" w:cs="Calibri"/>
                <w:sz w:val="18"/>
              </w:rPr>
              <w:t>63.24</w:t>
            </w:r>
          </w:p>
        </w:tc>
        <w:tc>
          <w:tcPr>
            <w:tcW w:w="569" w:type="dxa"/>
            <w:tcBorders>
              <w:top w:val="single" w:sz="2" w:space="0" w:color="181717"/>
              <w:left w:val="single" w:sz="2" w:space="0" w:color="181717"/>
              <w:bottom w:val="single" w:sz="2" w:space="0" w:color="181717"/>
              <w:right w:val="single" w:sz="2" w:space="0" w:color="181717"/>
            </w:tcBorders>
          </w:tcPr>
          <w:p w14:paraId="64D7F2EE" w14:textId="77777777" w:rsidR="006C08A6" w:rsidRDefault="00000000">
            <w:pPr>
              <w:spacing w:after="0" w:line="259" w:lineRule="auto"/>
              <w:ind w:left="3" w:firstLine="0"/>
              <w:jc w:val="left"/>
            </w:pPr>
            <w:r>
              <w:rPr>
                <w:rFonts w:ascii="Calibri" w:eastAsia="Calibri" w:hAnsi="Calibri" w:cs="Calibri"/>
                <w:sz w:val="18"/>
              </w:rPr>
              <w:t>93.30</w:t>
            </w:r>
          </w:p>
        </w:tc>
        <w:tc>
          <w:tcPr>
            <w:tcW w:w="567" w:type="dxa"/>
            <w:tcBorders>
              <w:top w:val="single" w:sz="2" w:space="0" w:color="181717"/>
              <w:left w:val="single" w:sz="2" w:space="0" w:color="181717"/>
              <w:bottom w:val="single" w:sz="2" w:space="0" w:color="181717"/>
              <w:right w:val="single" w:sz="2" w:space="0" w:color="181717"/>
            </w:tcBorders>
          </w:tcPr>
          <w:p w14:paraId="4B8F8FCB" w14:textId="77777777" w:rsidR="006C08A6" w:rsidRDefault="00000000">
            <w:pPr>
              <w:spacing w:after="0" w:line="259" w:lineRule="auto"/>
              <w:ind w:left="3" w:firstLine="0"/>
              <w:jc w:val="left"/>
            </w:pPr>
            <w:r>
              <w:rPr>
                <w:rFonts w:ascii="Calibri" w:eastAsia="Calibri" w:hAnsi="Calibri" w:cs="Calibri"/>
                <w:sz w:val="18"/>
              </w:rPr>
              <w:t>89.05</w:t>
            </w:r>
          </w:p>
        </w:tc>
        <w:tc>
          <w:tcPr>
            <w:tcW w:w="738" w:type="dxa"/>
            <w:tcBorders>
              <w:top w:val="single" w:sz="2" w:space="0" w:color="181717"/>
              <w:left w:val="single" w:sz="2" w:space="0" w:color="181717"/>
              <w:bottom w:val="single" w:sz="2" w:space="0" w:color="181717"/>
              <w:right w:val="single" w:sz="2" w:space="0" w:color="181717"/>
            </w:tcBorders>
          </w:tcPr>
          <w:p w14:paraId="5D8C37D6" w14:textId="77777777" w:rsidR="006C08A6" w:rsidRDefault="00000000">
            <w:pPr>
              <w:spacing w:after="0" w:line="259" w:lineRule="auto"/>
              <w:ind w:left="3" w:firstLine="0"/>
              <w:jc w:val="left"/>
            </w:pPr>
            <w:r>
              <w:rPr>
                <w:rFonts w:ascii="Calibri" w:eastAsia="Calibri" w:hAnsi="Calibri" w:cs="Calibri"/>
                <w:sz w:val="18"/>
              </w:rPr>
              <w:t>18.34</w:t>
            </w:r>
          </w:p>
        </w:tc>
        <w:tc>
          <w:tcPr>
            <w:tcW w:w="461" w:type="dxa"/>
            <w:tcBorders>
              <w:top w:val="single" w:sz="2" w:space="0" w:color="181717"/>
              <w:left w:val="single" w:sz="2" w:space="0" w:color="181717"/>
              <w:bottom w:val="single" w:sz="2" w:space="0" w:color="181717"/>
              <w:right w:val="single" w:sz="2" w:space="0" w:color="181717"/>
            </w:tcBorders>
          </w:tcPr>
          <w:p w14:paraId="6746E575" w14:textId="77777777" w:rsidR="006C08A6" w:rsidRDefault="00000000">
            <w:pPr>
              <w:spacing w:after="0" w:line="259" w:lineRule="auto"/>
              <w:ind w:left="3" w:firstLine="0"/>
              <w:jc w:val="left"/>
            </w:pPr>
            <w:r>
              <w:rPr>
                <w:rFonts w:ascii="Calibri" w:eastAsia="Calibri" w:hAnsi="Calibri" w:cs="Calibri"/>
                <w:sz w:val="18"/>
              </w:rPr>
              <w:t>35.76</w:t>
            </w:r>
          </w:p>
        </w:tc>
        <w:tc>
          <w:tcPr>
            <w:tcW w:w="617" w:type="dxa"/>
            <w:tcBorders>
              <w:top w:val="single" w:sz="2" w:space="0" w:color="181717"/>
              <w:left w:val="single" w:sz="2" w:space="0" w:color="181717"/>
              <w:bottom w:val="single" w:sz="2" w:space="0" w:color="181717"/>
              <w:right w:val="single" w:sz="2" w:space="0" w:color="181717"/>
            </w:tcBorders>
          </w:tcPr>
          <w:p w14:paraId="25DD95BE" w14:textId="77777777" w:rsidR="006C08A6" w:rsidRDefault="00000000">
            <w:pPr>
              <w:spacing w:after="0" w:line="259" w:lineRule="auto"/>
              <w:ind w:left="3" w:firstLine="0"/>
              <w:jc w:val="left"/>
            </w:pPr>
            <w:r>
              <w:rPr>
                <w:rFonts w:ascii="Calibri" w:eastAsia="Calibri" w:hAnsi="Calibri" w:cs="Calibri"/>
                <w:sz w:val="18"/>
              </w:rPr>
              <w:t>0.93</w:t>
            </w:r>
          </w:p>
        </w:tc>
        <w:tc>
          <w:tcPr>
            <w:tcW w:w="465" w:type="dxa"/>
            <w:tcBorders>
              <w:top w:val="single" w:sz="2" w:space="0" w:color="181717"/>
              <w:left w:val="single" w:sz="2" w:space="0" w:color="181717"/>
              <w:bottom w:val="single" w:sz="2" w:space="0" w:color="181717"/>
              <w:right w:val="single" w:sz="2" w:space="0" w:color="181717"/>
            </w:tcBorders>
          </w:tcPr>
          <w:p w14:paraId="40C66481" w14:textId="77777777" w:rsidR="006C08A6" w:rsidRDefault="00000000">
            <w:pPr>
              <w:spacing w:after="0" w:line="259" w:lineRule="auto"/>
              <w:ind w:left="3" w:firstLine="0"/>
              <w:jc w:val="left"/>
            </w:pPr>
            <w:r>
              <w:rPr>
                <w:rFonts w:ascii="Calibri" w:eastAsia="Calibri" w:hAnsi="Calibri" w:cs="Calibri"/>
                <w:sz w:val="18"/>
              </w:rPr>
              <w:t>0.98</w:t>
            </w:r>
          </w:p>
        </w:tc>
        <w:tc>
          <w:tcPr>
            <w:tcW w:w="885" w:type="dxa"/>
            <w:tcBorders>
              <w:top w:val="single" w:sz="2" w:space="0" w:color="181717"/>
              <w:left w:val="single" w:sz="2" w:space="0" w:color="181717"/>
              <w:bottom w:val="single" w:sz="2" w:space="0" w:color="181717"/>
              <w:right w:val="single" w:sz="2" w:space="0" w:color="181717"/>
            </w:tcBorders>
          </w:tcPr>
          <w:p w14:paraId="160A7179" w14:textId="77777777" w:rsidR="006C08A6" w:rsidRDefault="00000000">
            <w:pPr>
              <w:spacing w:after="0" w:line="259" w:lineRule="auto"/>
              <w:ind w:left="3" w:firstLine="0"/>
              <w:jc w:val="left"/>
            </w:pPr>
            <w:r>
              <w:rPr>
                <w:rFonts w:ascii="Calibri" w:eastAsia="Calibri" w:hAnsi="Calibri" w:cs="Calibri"/>
                <w:sz w:val="18"/>
              </w:rPr>
              <w:t>17.48</w:t>
            </w:r>
          </w:p>
        </w:tc>
        <w:tc>
          <w:tcPr>
            <w:tcW w:w="530" w:type="dxa"/>
            <w:tcBorders>
              <w:top w:val="single" w:sz="2" w:space="0" w:color="181717"/>
              <w:left w:val="single" w:sz="2" w:space="0" w:color="181717"/>
              <w:bottom w:val="single" w:sz="2" w:space="0" w:color="181717"/>
              <w:right w:val="single" w:sz="2" w:space="0" w:color="181717"/>
            </w:tcBorders>
          </w:tcPr>
          <w:p w14:paraId="29AFE2CF" w14:textId="77777777" w:rsidR="006C08A6" w:rsidRDefault="00000000">
            <w:pPr>
              <w:spacing w:after="0" w:line="259" w:lineRule="auto"/>
              <w:ind w:left="3" w:firstLine="0"/>
              <w:jc w:val="left"/>
            </w:pPr>
            <w:r>
              <w:rPr>
                <w:rFonts w:ascii="Calibri" w:eastAsia="Calibri" w:hAnsi="Calibri" w:cs="Calibri"/>
                <w:sz w:val="18"/>
              </w:rPr>
              <w:t>42.16</w:t>
            </w:r>
          </w:p>
        </w:tc>
      </w:tr>
    </w:tbl>
    <w:p w14:paraId="2E4A5A7B" w14:textId="77777777" w:rsidR="006C08A6" w:rsidRDefault="00000000">
      <w:pPr>
        <w:spacing w:after="351" w:line="247" w:lineRule="auto"/>
        <w:ind w:left="1291" w:right="705"/>
      </w:pPr>
      <w:r>
        <w:rPr>
          <w:noProof/>
        </w:rPr>
        <w:lastRenderedPageBreak/>
        <w:drawing>
          <wp:anchor distT="0" distB="0" distL="114300" distR="114300" simplePos="0" relativeHeight="251659264" behindDoc="0" locked="0" layoutInCell="1" allowOverlap="0" wp14:anchorId="3ABE2C50" wp14:editId="2CB6BFDF">
            <wp:simplePos x="0" y="0"/>
            <wp:positionH relativeFrom="column">
              <wp:posOffset>167894</wp:posOffset>
            </wp:positionH>
            <wp:positionV relativeFrom="paragraph">
              <wp:posOffset>32451</wp:posOffset>
            </wp:positionV>
            <wp:extent cx="630936" cy="600832"/>
            <wp:effectExtent l="0" t="0" r="0" b="0"/>
            <wp:wrapSquare wrapText="bothSides"/>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56"/>
                    <a:stretch>
                      <a:fillRect/>
                    </a:stretch>
                  </pic:blipFill>
                  <pic:spPr>
                    <a:xfrm>
                      <a:off x="0" y="0"/>
                      <a:ext cx="630936" cy="600832"/>
                    </a:xfrm>
                    <a:prstGeom prst="rect">
                      <a:avLst/>
                    </a:prstGeom>
                  </pic:spPr>
                </pic:pic>
              </a:graphicData>
            </a:graphic>
          </wp:anchor>
        </w:drawing>
      </w:r>
      <w:r>
        <w:rPr>
          <w:sz w:val="19"/>
        </w:rPr>
        <w:t>Perplexity might not be a great proxy to evaluate models that have been post-trained using techniques like SFT and RLHF.</w:t>
      </w:r>
      <w:r>
        <w:rPr>
          <w:sz w:val="19"/>
          <w:vertAlign w:val="superscript"/>
        </w:rPr>
        <w:footnoteReference w:id="9"/>
      </w:r>
      <w:r>
        <w:rPr>
          <w:sz w:val="19"/>
        </w:rPr>
        <w:t xml:space="preserve"> Posttraining is about teaching models how to complete tasks. As a model gets better at completing tasks, it might get worse at predicting the next tokens. A language model’s perplexity typically increases after post-training. Some people say that post-training </w:t>
      </w:r>
      <w:r>
        <w:rPr>
          <w:i/>
          <w:sz w:val="19"/>
        </w:rPr>
        <w:t xml:space="preserve">collapses </w:t>
      </w:r>
      <w:r>
        <w:rPr>
          <w:sz w:val="19"/>
        </w:rPr>
        <w:t>entropy. Similarly, quantization—a technique that reduces a model’s numerical precision and, with it, its memory footprint— can also change a model’s perplexity in unexpected ways.</w:t>
      </w:r>
      <w:r>
        <w:rPr>
          <w:sz w:val="19"/>
          <w:vertAlign w:val="superscript"/>
        </w:rPr>
        <w:footnoteReference w:id="10"/>
      </w:r>
    </w:p>
    <w:p w14:paraId="757DF0C7" w14:textId="77777777" w:rsidR="006C08A6" w:rsidRDefault="00000000">
      <w:pPr>
        <w:ind w:left="-5"/>
      </w:pPr>
      <w:r>
        <w:t>Recall that the perplexity of a model with respect to a text measures how difficult it is for this model to predict this text. For a given model, perplexity is the lowest for texts that the model has seen and memorized during training. Therefore, perplexity can be used to detect whether a text was in a model’s training data. This is useful for detecting data contamination—if a model’s perplexity on a benchmark’s data is low, this benchmark was likely included in the model’s training data, making the model’s performance on this benchmark less trustworthy. This can also be used for deduplication of training data: e.g., add new data to the existing training dataset only if the perplexity of the new data is high.</w:t>
      </w:r>
    </w:p>
    <w:p w14:paraId="7B8B0929" w14:textId="77777777" w:rsidR="006C08A6" w:rsidRDefault="00000000">
      <w:pPr>
        <w:ind w:left="-5"/>
      </w:pPr>
      <w:r>
        <w:t>Perplexity is the highest for unpredictable texts, such as texts expressing unusual ideas (like “my dog teaches quantum physics in his free time”) or gibberish (like “home cat go eye”). Therefore, perplexity can be used to detect abnormal texts.</w:t>
      </w:r>
    </w:p>
    <w:p w14:paraId="1FEB684D" w14:textId="77777777" w:rsidR="006C08A6" w:rsidRDefault="00000000">
      <w:pPr>
        <w:ind w:left="-5"/>
      </w:pPr>
      <w:r>
        <w:t>Perplexity and its related metrics help us understand the performance of the underlying language model, which is a proxy for understanding the model’s performance on downstream tasks. The rest of the chapter discusses how to measure a model’s performance on downstream tasks directly.</w:t>
      </w:r>
    </w:p>
    <w:p w14:paraId="250D15EF" w14:textId="77777777" w:rsidR="006C08A6" w:rsidRDefault="006C08A6">
      <w:pPr>
        <w:sectPr w:rsidR="006C08A6">
          <w:footerReference w:type="even" r:id="rId57"/>
          <w:footerReference w:type="default" r:id="rId58"/>
          <w:footerReference w:type="first" r:id="rId59"/>
          <w:pgSz w:w="10080" w:h="13230"/>
          <w:pgMar w:top="1043" w:right="1440" w:bottom="1384" w:left="1440" w:header="720" w:footer="810" w:gutter="0"/>
          <w:cols w:space="720"/>
        </w:sectPr>
      </w:pPr>
    </w:p>
    <w:tbl>
      <w:tblPr>
        <w:tblStyle w:val="TableGrid"/>
        <w:tblW w:w="7195" w:type="dxa"/>
        <w:tblInd w:w="3" w:type="dxa"/>
        <w:tblCellMar>
          <w:top w:w="0" w:type="dxa"/>
          <w:left w:w="162" w:type="dxa"/>
          <w:bottom w:w="0" w:type="dxa"/>
          <w:right w:w="162" w:type="dxa"/>
        </w:tblCellMar>
        <w:tblLook w:val="04A0" w:firstRow="1" w:lastRow="0" w:firstColumn="1" w:lastColumn="0" w:noHBand="0" w:noVBand="1"/>
      </w:tblPr>
      <w:tblGrid>
        <w:gridCol w:w="7195"/>
      </w:tblGrid>
      <w:tr w:rsidR="006C08A6" w14:paraId="5B90DEB5" w14:textId="77777777">
        <w:trPr>
          <w:trHeight w:val="3863"/>
        </w:trPr>
        <w:tc>
          <w:tcPr>
            <w:tcW w:w="7195" w:type="dxa"/>
            <w:tcBorders>
              <w:top w:val="single" w:sz="2" w:space="0" w:color="000000"/>
              <w:left w:val="single" w:sz="2" w:space="0" w:color="000000"/>
              <w:bottom w:val="single" w:sz="2" w:space="0" w:color="000000"/>
              <w:right w:val="single" w:sz="2" w:space="0" w:color="000000"/>
            </w:tcBorders>
            <w:vAlign w:val="center"/>
          </w:tcPr>
          <w:p w14:paraId="020F4200" w14:textId="77777777" w:rsidR="006C08A6" w:rsidRDefault="00000000">
            <w:pPr>
              <w:spacing w:after="0" w:line="259" w:lineRule="auto"/>
              <w:ind w:left="0" w:firstLine="0"/>
              <w:jc w:val="center"/>
            </w:pPr>
            <w:r>
              <w:rPr>
                <w:rFonts w:ascii="Calibri" w:eastAsia="Calibri" w:hAnsi="Calibri" w:cs="Calibri"/>
                <w:b/>
                <w:sz w:val="30"/>
              </w:rPr>
              <w:lastRenderedPageBreak/>
              <w:t>How to Use a Language Model to Compute a Text’s Perplexity</w:t>
            </w:r>
          </w:p>
          <w:p w14:paraId="1E63BB1D" w14:textId="77777777" w:rsidR="006C08A6" w:rsidRDefault="00000000">
            <w:pPr>
              <w:spacing w:after="305" w:line="258" w:lineRule="auto"/>
              <w:ind w:left="0" w:firstLine="0"/>
            </w:pPr>
            <w:r>
              <w:rPr>
                <w:sz w:val="20"/>
              </w:rPr>
              <w:t xml:space="preserve">A model’s perplexity with respect to a text measures how difficult it is for the model to predict that text. Given a language model </w:t>
            </w:r>
            <w:r>
              <w:rPr>
                <w:i/>
                <w:sz w:val="20"/>
              </w:rPr>
              <w:t>X</w:t>
            </w:r>
            <w:r>
              <w:rPr>
                <w:sz w:val="20"/>
              </w:rPr>
              <w:t xml:space="preserve">, and a sequence of tokens </w:t>
            </w:r>
            <w:r>
              <w:rPr>
                <w:rFonts w:ascii="Calibri" w:eastAsia="Calibri" w:hAnsi="Calibri" w:cs="Calibri"/>
                <w:noProof/>
                <w:sz w:val="22"/>
              </w:rPr>
              <mc:AlternateContent>
                <mc:Choice Requires="wpg">
                  <w:drawing>
                    <wp:inline distT="0" distB="0" distL="0" distR="0" wp14:anchorId="79EB9A6F" wp14:editId="5E909F04">
                      <wp:extent cx="26670" cy="116776"/>
                      <wp:effectExtent l="0" t="0" r="0" b="0"/>
                      <wp:docPr id="33751" name="Group 33751"/>
                      <wp:cNvGraphicFramePr/>
                      <a:graphic xmlns:a="http://schemas.openxmlformats.org/drawingml/2006/main">
                        <a:graphicData uri="http://schemas.microsoft.com/office/word/2010/wordprocessingGroup">
                          <wpg:wgp>
                            <wpg:cNvGrpSpPr/>
                            <wpg:grpSpPr>
                              <a:xfrm>
                                <a:off x="0" y="0"/>
                                <a:ext cx="26670" cy="116776"/>
                                <a:chOff x="0" y="0"/>
                                <a:chExt cx="26670" cy="116776"/>
                              </a:xfrm>
                            </wpg:grpSpPr>
                            <wps:wsp>
                              <wps:cNvPr id="41208" name="Shape 41208"/>
                              <wps:cNvSpPr/>
                              <wps:spPr>
                                <a:xfrm>
                                  <a:off x="0" y="0"/>
                                  <a:ext cx="9144" cy="116776"/>
                                </a:xfrm>
                                <a:custGeom>
                                  <a:avLst/>
                                  <a:gdLst/>
                                  <a:ahLst/>
                                  <a:cxnLst/>
                                  <a:rect l="0" t="0" r="0" b="0"/>
                                  <a:pathLst>
                                    <a:path w="9144" h="116776">
                                      <a:moveTo>
                                        <a:pt x="0" y="0"/>
                                      </a:moveTo>
                                      <a:lnTo>
                                        <a:pt x="9144" y="0"/>
                                      </a:lnTo>
                                      <a:lnTo>
                                        <a:pt x="9144" y="116776"/>
                                      </a:lnTo>
                                      <a:lnTo>
                                        <a:pt x="0" y="116776"/>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41209" name="Shape 41209"/>
                              <wps:cNvSpPr/>
                              <wps:spPr>
                                <a:xfrm>
                                  <a:off x="0" y="0"/>
                                  <a:ext cx="26670" cy="9144"/>
                                </a:xfrm>
                                <a:custGeom>
                                  <a:avLst/>
                                  <a:gdLst/>
                                  <a:ahLst/>
                                  <a:cxnLst/>
                                  <a:rect l="0" t="0" r="0" b="0"/>
                                  <a:pathLst>
                                    <a:path w="26670" h="9144">
                                      <a:moveTo>
                                        <a:pt x="0" y="0"/>
                                      </a:moveTo>
                                      <a:lnTo>
                                        <a:pt x="26670" y="0"/>
                                      </a:lnTo>
                                      <a:lnTo>
                                        <a:pt x="2667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41210" name="Shape 41210"/>
                              <wps:cNvSpPr/>
                              <wps:spPr>
                                <a:xfrm>
                                  <a:off x="0" y="114236"/>
                                  <a:ext cx="26670" cy="9144"/>
                                </a:xfrm>
                                <a:custGeom>
                                  <a:avLst/>
                                  <a:gdLst/>
                                  <a:ahLst/>
                                  <a:cxnLst/>
                                  <a:rect l="0" t="0" r="0" b="0"/>
                                  <a:pathLst>
                                    <a:path w="26670" h="9144">
                                      <a:moveTo>
                                        <a:pt x="0" y="0"/>
                                      </a:moveTo>
                                      <a:lnTo>
                                        <a:pt x="26670" y="0"/>
                                      </a:lnTo>
                                      <a:lnTo>
                                        <a:pt x="2667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751" style="width:2.1pt;height:9.19494pt;mso-position-horizontal-relative:char;mso-position-vertical-relative:line" coordsize="266,1167">
                      <v:shape id="Shape 41211" style="position:absolute;width:91;height:1167;left:0;top:0;" coordsize="9144,116776" path="m0,0l9144,0l9144,116776l0,116776l0,0">
                        <v:stroke weight="0.1pt" endcap="flat" joinstyle="miter" miterlimit="10" on="true" color="#000000"/>
                        <v:fill on="true" color="#000000"/>
                      </v:shape>
                      <v:shape id="Shape 41212" style="position:absolute;width:266;height:91;left:0;top:0;" coordsize="26670,9144" path="m0,0l26670,0l26670,9144l0,9144l0,0">
                        <v:stroke weight="0.1pt" endcap="flat" joinstyle="miter" miterlimit="10" on="true" color="#000000"/>
                        <v:fill on="true" color="#000000"/>
                      </v:shape>
                      <v:shape id="Shape 41213" style="position:absolute;width:266;height:91;left:0;top:1142;" coordsize="26670,9144" path="m0,0l26670,0l26670,9144l0,9144l0,0">
                        <v:stroke weight="0.1pt" endcap="flat" joinstyle="miter" miterlimit="10" on="true" color="#000000"/>
                        <v:fill on="true" color="#000000"/>
                      </v:shape>
                    </v:group>
                  </w:pict>
                </mc:Fallback>
              </mc:AlternateContent>
            </w:r>
            <w:r>
              <w:rPr>
                <w:i/>
                <w:sz w:val="20"/>
              </w:rPr>
              <w:t>x</w:t>
            </w:r>
            <w:r>
              <w:rPr>
                <w:sz w:val="18"/>
                <w:vertAlign w:val="subscript"/>
              </w:rPr>
              <w:t>1</w:t>
            </w:r>
            <w:r>
              <w:rPr>
                <w:sz w:val="20"/>
              </w:rPr>
              <w:t xml:space="preserve">, </w:t>
            </w:r>
            <w:r>
              <w:rPr>
                <w:i/>
                <w:sz w:val="20"/>
              </w:rPr>
              <w:t>x</w:t>
            </w:r>
            <w:r>
              <w:rPr>
                <w:sz w:val="18"/>
                <w:vertAlign w:val="subscript"/>
              </w:rPr>
              <w:t>2</w:t>
            </w:r>
            <w:r>
              <w:rPr>
                <w:sz w:val="20"/>
              </w:rPr>
              <w:t xml:space="preserve">, ..., </w:t>
            </w:r>
            <w:r>
              <w:rPr>
                <w:i/>
                <w:sz w:val="20"/>
              </w:rPr>
              <w:t>x</w:t>
            </w:r>
            <w:r>
              <w:rPr>
                <w:i/>
                <w:sz w:val="18"/>
                <w:vertAlign w:val="subscript"/>
              </w:rPr>
              <w:t>n</w:t>
            </w:r>
            <w:r>
              <w:rPr>
                <w:rFonts w:ascii="Calibri" w:eastAsia="Calibri" w:hAnsi="Calibri" w:cs="Calibri"/>
                <w:noProof/>
                <w:sz w:val="22"/>
              </w:rPr>
              <mc:AlternateContent>
                <mc:Choice Requires="wpg">
                  <w:drawing>
                    <wp:inline distT="0" distB="0" distL="0" distR="0" wp14:anchorId="6D313EAF" wp14:editId="153E9E70">
                      <wp:extent cx="26670" cy="116776"/>
                      <wp:effectExtent l="0" t="0" r="0" b="0"/>
                      <wp:docPr id="33752" name="Group 33752"/>
                      <wp:cNvGraphicFramePr/>
                      <a:graphic xmlns:a="http://schemas.openxmlformats.org/drawingml/2006/main">
                        <a:graphicData uri="http://schemas.microsoft.com/office/word/2010/wordprocessingGroup">
                          <wpg:wgp>
                            <wpg:cNvGrpSpPr/>
                            <wpg:grpSpPr>
                              <a:xfrm>
                                <a:off x="0" y="0"/>
                                <a:ext cx="26670" cy="116776"/>
                                <a:chOff x="0" y="0"/>
                                <a:chExt cx="26670" cy="116776"/>
                              </a:xfrm>
                            </wpg:grpSpPr>
                            <wps:wsp>
                              <wps:cNvPr id="41214" name="Shape 41214"/>
                              <wps:cNvSpPr/>
                              <wps:spPr>
                                <a:xfrm>
                                  <a:off x="24130" y="0"/>
                                  <a:ext cx="9144" cy="116776"/>
                                </a:xfrm>
                                <a:custGeom>
                                  <a:avLst/>
                                  <a:gdLst/>
                                  <a:ahLst/>
                                  <a:cxnLst/>
                                  <a:rect l="0" t="0" r="0" b="0"/>
                                  <a:pathLst>
                                    <a:path w="9144" h="116776">
                                      <a:moveTo>
                                        <a:pt x="0" y="0"/>
                                      </a:moveTo>
                                      <a:lnTo>
                                        <a:pt x="9144" y="0"/>
                                      </a:lnTo>
                                      <a:lnTo>
                                        <a:pt x="9144" y="116776"/>
                                      </a:lnTo>
                                      <a:lnTo>
                                        <a:pt x="0" y="116776"/>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41215" name="Shape 41215"/>
                              <wps:cNvSpPr/>
                              <wps:spPr>
                                <a:xfrm>
                                  <a:off x="0" y="0"/>
                                  <a:ext cx="26670" cy="9144"/>
                                </a:xfrm>
                                <a:custGeom>
                                  <a:avLst/>
                                  <a:gdLst/>
                                  <a:ahLst/>
                                  <a:cxnLst/>
                                  <a:rect l="0" t="0" r="0" b="0"/>
                                  <a:pathLst>
                                    <a:path w="26670" h="9144">
                                      <a:moveTo>
                                        <a:pt x="0" y="0"/>
                                      </a:moveTo>
                                      <a:lnTo>
                                        <a:pt x="26670" y="0"/>
                                      </a:lnTo>
                                      <a:lnTo>
                                        <a:pt x="2667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s:wsp>
                              <wps:cNvPr id="41216" name="Shape 41216"/>
                              <wps:cNvSpPr/>
                              <wps:spPr>
                                <a:xfrm>
                                  <a:off x="0" y="114236"/>
                                  <a:ext cx="26670" cy="9144"/>
                                </a:xfrm>
                                <a:custGeom>
                                  <a:avLst/>
                                  <a:gdLst/>
                                  <a:ahLst/>
                                  <a:cxnLst/>
                                  <a:rect l="0" t="0" r="0" b="0"/>
                                  <a:pathLst>
                                    <a:path w="26670" h="9144">
                                      <a:moveTo>
                                        <a:pt x="0" y="0"/>
                                      </a:moveTo>
                                      <a:lnTo>
                                        <a:pt x="26670" y="0"/>
                                      </a:lnTo>
                                      <a:lnTo>
                                        <a:pt x="2667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752" style="width:2.09999pt;height:9.19494pt;mso-position-horizontal-relative:char;mso-position-vertical-relative:line" coordsize="266,1167">
                      <v:shape id="Shape 41217" style="position:absolute;width:91;height:1167;left:241;top:0;" coordsize="9144,116776" path="m0,0l9144,0l9144,116776l0,116776l0,0">
                        <v:stroke weight="0.1pt" endcap="flat" joinstyle="miter" miterlimit="10" on="true" color="#000000"/>
                        <v:fill on="true" color="#000000"/>
                      </v:shape>
                      <v:shape id="Shape 41218" style="position:absolute;width:266;height:91;left:0;top:0;" coordsize="26670,9144" path="m0,0l26670,0l26670,9144l0,9144l0,0">
                        <v:stroke weight="0.1pt" endcap="flat" joinstyle="miter" miterlimit="10" on="true" color="#000000"/>
                        <v:fill on="true" color="#000000"/>
                      </v:shape>
                      <v:shape id="Shape 41219" style="position:absolute;width:266;height:91;left:0;top:1142;" coordsize="26670,9144" path="m0,0l26670,0l26670,9144l0,9144l0,0">
                        <v:stroke weight="0.1pt" endcap="flat" joinstyle="miter" miterlimit="10" on="true" color="#000000"/>
                        <v:fill on="true" color="#000000"/>
                      </v:shape>
                    </v:group>
                  </w:pict>
                </mc:Fallback>
              </mc:AlternateContent>
            </w:r>
            <w:r>
              <w:rPr>
                <w:sz w:val="20"/>
              </w:rPr>
              <w:t xml:space="preserve">, </w:t>
            </w:r>
            <w:r>
              <w:rPr>
                <w:i/>
                <w:sz w:val="20"/>
              </w:rPr>
              <w:t>X</w:t>
            </w:r>
            <w:r>
              <w:rPr>
                <w:sz w:val="20"/>
              </w:rPr>
              <w:t>’s perplexity for this sequence is:</w:t>
            </w:r>
          </w:p>
          <w:p w14:paraId="730E1B74" w14:textId="77777777" w:rsidR="006C08A6" w:rsidRDefault="00000000">
            <w:pPr>
              <w:spacing w:after="280" w:line="259" w:lineRule="auto"/>
              <w:ind w:left="306" w:firstLine="0"/>
              <w:jc w:val="left"/>
            </w:pPr>
            <w:r>
              <w:rPr>
                <w:i/>
                <w:sz w:val="20"/>
              </w:rPr>
              <w:t>P</w:t>
            </w:r>
            <w:r>
              <w:rPr>
                <w:noProof/>
              </w:rPr>
              <w:drawing>
                <wp:inline distT="0" distB="0" distL="0" distR="0" wp14:anchorId="1E50E0AB" wp14:editId="1FC7B985">
                  <wp:extent cx="2974848" cy="252984"/>
                  <wp:effectExtent l="0" t="0" r="0" b="0"/>
                  <wp:docPr id="39979" name="Picture 39979"/>
                  <wp:cNvGraphicFramePr/>
                  <a:graphic xmlns:a="http://schemas.openxmlformats.org/drawingml/2006/main">
                    <a:graphicData uri="http://schemas.openxmlformats.org/drawingml/2006/picture">
                      <pic:pic xmlns:pic="http://schemas.openxmlformats.org/drawingml/2006/picture">
                        <pic:nvPicPr>
                          <pic:cNvPr id="39979" name="Picture 39979"/>
                          <pic:cNvPicPr/>
                        </pic:nvPicPr>
                        <pic:blipFill>
                          <a:blip r:embed="rId60"/>
                          <a:stretch>
                            <a:fillRect/>
                          </a:stretch>
                        </pic:blipFill>
                        <pic:spPr>
                          <a:xfrm>
                            <a:off x="0" y="0"/>
                            <a:ext cx="2974848" cy="252984"/>
                          </a:xfrm>
                          <a:prstGeom prst="rect">
                            <a:avLst/>
                          </a:prstGeom>
                        </pic:spPr>
                      </pic:pic>
                    </a:graphicData>
                  </a:graphic>
                </wp:inline>
              </w:drawing>
            </w:r>
          </w:p>
          <w:p w14:paraId="7F4032C3" w14:textId="77777777" w:rsidR="006C08A6" w:rsidRDefault="00000000">
            <w:pPr>
              <w:spacing w:after="89" w:line="281" w:lineRule="auto"/>
              <w:ind w:left="0" w:firstLine="0"/>
            </w:pPr>
            <w:r>
              <w:rPr>
                <w:sz w:val="20"/>
              </w:rPr>
              <w:t xml:space="preserve">where </w:t>
            </w:r>
            <w:r>
              <w:rPr>
                <w:i/>
                <w:sz w:val="20"/>
              </w:rPr>
              <w:t>P</w:t>
            </w:r>
            <w:r>
              <w:rPr>
                <w:sz w:val="22"/>
              </w:rPr>
              <w:t>(</w:t>
            </w:r>
            <w:r>
              <w:rPr>
                <w:i/>
                <w:sz w:val="20"/>
              </w:rPr>
              <w:t>x</w:t>
            </w:r>
            <w:r>
              <w:rPr>
                <w:i/>
                <w:sz w:val="18"/>
                <w:vertAlign w:val="subscript"/>
              </w:rPr>
              <w:t xml:space="preserve">i </w:t>
            </w:r>
            <w:r>
              <w:rPr>
                <w:sz w:val="22"/>
              </w:rPr>
              <w:t xml:space="preserve">| </w:t>
            </w:r>
            <w:r>
              <w:rPr>
                <w:i/>
                <w:sz w:val="20"/>
              </w:rPr>
              <w:t>x</w:t>
            </w:r>
            <w:r>
              <w:rPr>
                <w:sz w:val="18"/>
                <w:vertAlign w:val="subscript"/>
              </w:rPr>
              <w:t>1</w:t>
            </w:r>
            <w:r>
              <w:rPr>
                <w:sz w:val="20"/>
              </w:rPr>
              <w:t xml:space="preserve">, ..., </w:t>
            </w:r>
            <w:r>
              <w:rPr>
                <w:i/>
                <w:sz w:val="20"/>
              </w:rPr>
              <w:t>x</w:t>
            </w:r>
            <w:r>
              <w:rPr>
                <w:i/>
                <w:sz w:val="18"/>
                <w:vertAlign w:val="subscript"/>
              </w:rPr>
              <w:t>i</w:t>
            </w:r>
            <w:r>
              <w:rPr>
                <w:sz w:val="18"/>
                <w:vertAlign w:val="subscript"/>
              </w:rPr>
              <w:t>-1</w:t>
            </w:r>
            <w:r>
              <w:rPr>
                <w:sz w:val="22"/>
              </w:rPr>
              <w:t>)</w:t>
            </w:r>
            <w:r>
              <w:rPr>
                <w:sz w:val="20"/>
              </w:rPr>
              <w:t xml:space="preserve"> denotes the probability that </w:t>
            </w:r>
            <w:r>
              <w:rPr>
                <w:i/>
                <w:sz w:val="20"/>
              </w:rPr>
              <w:t>X</w:t>
            </w:r>
            <w:r>
              <w:rPr>
                <w:sz w:val="20"/>
              </w:rPr>
              <w:t xml:space="preserve"> assigns to the token </w:t>
            </w:r>
            <w:r>
              <w:rPr>
                <w:i/>
                <w:sz w:val="20"/>
              </w:rPr>
              <w:t>x</w:t>
            </w:r>
            <w:r>
              <w:rPr>
                <w:i/>
                <w:sz w:val="18"/>
                <w:vertAlign w:val="subscript"/>
              </w:rPr>
              <w:t>i</w:t>
            </w:r>
            <w:r>
              <w:rPr>
                <w:sz w:val="20"/>
              </w:rPr>
              <w:t xml:space="preserve"> given the previous tokens </w:t>
            </w:r>
            <w:r>
              <w:rPr>
                <w:i/>
                <w:sz w:val="20"/>
              </w:rPr>
              <w:t>x</w:t>
            </w:r>
            <w:r>
              <w:rPr>
                <w:sz w:val="18"/>
                <w:vertAlign w:val="subscript"/>
              </w:rPr>
              <w:t>1</w:t>
            </w:r>
            <w:r>
              <w:rPr>
                <w:sz w:val="20"/>
              </w:rPr>
              <w:t xml:space="preserve">, ..., </w:t>
            </w:r>
            <w:r>
              <w:rPr>
                <w:i/>
                <w:sz w:val="20"/>
              </w:rPr>
              <w:t>x</w:t>
            </w:r>
            <w:r>
              <w:rPr>
                <w:i/>
                <w:sz w:val="18"/>
                <w:vertAlign w:val="subscript"/>
              </w:rPr>
              <w:t>i</w:t>
            </w:r>
            <w:r>
              <w:rPr>
                <w:sz w:val="18"/>
                <w:vertAlign w:val="subscript"/>
              </w:rPr>
              <w:t>-1</w:t>
            </w:r>
            <w:r>
              <w:rPr>
                <w:sz w:val="20"/>
              </w:rPr>
              <w:t>.</w:t>
            </w:r>
          </w:p>
          <w:p w14:paraId="5CE86C55" w14:textId="77777777" w:rsidR="006C08A6" w:rsidRDefault="00000000">
            <w:pPr>
              <w:spacing w:after="0" w:line="259" w:lineRule="auto"/>
              <w:ind w:left="0" w:firstLine="0"/>
            </w:pPr>
            <w:r>
              <w:rPr>
                <w:sz w:val="20"/>
              </w:rPr>
              <w:t xml:space="preserve">To compute perplexity, you need access to the probabilities (or logprobs) the language model assigns to each next token. Unfortunately, not all commercial models expose their models’ logprobs, as discussed in </w:t>
            </w:r>
            <w:r>
              <w:rPr>
                <w:color w:val="990000"/>
                <w:sz w:val="20"/>
              </w:rPr>
              <w:t>Chapter 2</w:t>
            </w:r>
            <w:r>
              <w:rPr>
                <w:sz w:val="20"/>
              </w:rPr>
              <w:t>.</w:t>
            </w:r>
          </w:p>
        </w:tc>
      </w:tr>
    </w:tbl>
    <w:p w14:paraId="5FBC99D2" w14:textId="77777777" w:rsidR="006C08A6" w:rsidRDefault="00000000">
      <w:pPr>
        <w:pStyle w:val="Heading1"/>
        <w:ind w:left="-5"/>
      </w:pPr>
      <w:r>
        <w:t>Exact Evaluation</w:t>
      </w:r>
    </w:p>
    <w:p w14:paraId="616605D9" w14:textId="77777777" w:rsidR="006C08A6" w:rsidRDefault="00000000">
      <w:pPr>
        <w:ind w:left="-5"/>
      </w:pPr>
      <w:r>
        <w:t>When evaluating models’ performance, it’s important to differentiate between exact and subjective evaluation. Exact evaluation produces judgment without ambiguity. For example, if the answer to a multiple-choice question is A and you pick B, your answer is wrong. There’s no ambiguity around that. On the other hand, essay grading is subjective. An essay’s score depends on who grades the essay. The same person, if asked twice some time apart, can give the same essay different scores. Essay grading can become more exact with clear grading guidelines. As you’ll see in the next section, AI as a judge is subjective. The evaluation result can change based on the judge model and the prompt.</w:t>
      </w:r>
    </w:p>
    <w:p w14:paraId="21FB39A4" w14:textId="77777777" w:rsidR="006C08A6" w:rsidRDefault="00000000">
      <w:pPr>
        <w:ind w:left="-5"/>
      </w:pPr>
      <w:r>
        <w:t>I’ll cover two evaluation approaches that produce exact scores: functional correctness and similarity measurements against reference data. Note that this section focuses on evaluating open-ended responses (arbitrary text generation) as opposed to close-ended responses (such as classification). This is not because foundation models aren’t being used for close-ended tasks. In fact, many foundation model systems have at least a classification component, typically for intent classification or scoring. This section focuses on open-ended evaluation because close-ended evaluation is already well understood.</w:t>
      </w:r>
    </w:p>
    <w:p w14:paraId="3DDEF9F5" w14:textId="77777777" w:rsidR="006C08A6" w:rsidRDefault="00000000">
      <w:pPr>
        <w:pStyle w:val="Heading2"/>
        <w:ind w:left="-5"/>
      </w:pPr>
      <w:r>
        <w:t>Functional Correctness</w:t>
      </w:r>
    </w:p>
    <w:p w14:paraId="2E27FA61" w14:textId="77777777" w:rsidR="006C08A6" w:rsidRDefault="00000000">
      <w:pPr>
        <w:ind w:left="-5"/>
      </w:pPr>
      <w:r>
        <w:t>Functional correctness evaluation means evaluating a system based on whether it performs the intended functionality. For example, if you ask a model to create a website, does the generated website meet your requirements? If you ask a model to make a reservation at a certain restaurant, does the model succeed?</w:t>
      </w:r>
    </w:p>
    <w:p w14:paraId="4EBD34ED" w14:textId="77777777" w:rsidR="006C08A6" w:rsidRDefault="00000000">
      <w:pPr>
        <w:ind w:left="-5"/>
      </w:pPr>
      <w:r>
        <w:lastRenderedPageBreak/>
        <w:t>Functional correctness is the ultimate metric for evaluating the performance of any application, as it measures whether your application does what it’s intended to do. However, functional correctness isn’t always straightforward to measure, and its measurement can’t be easily automated.</w:t>
      </w:r>
    </w:p>
    <w:p w14:paraId="4BA45232" w14:textId="77777777" w:rsidR="006C08A6" w:rsidRDefault="00000000">
      <w:pPr>
        <w:ind w:left="-5"/>
      </w:pPr>
      <w:r>
        <w:t xml:space="preserve">Code generation is an example of a task where functional correctness measurement can be automated. Functional correctness in coding is sometimes </w:t>
      </w:r>
      <w:r>
        <w:rPr>
          <w:i/>
        </w:rPr>
        <w:t>execution accuracy</w:t>
      </w:r>
      <w:r>
        <w:t xml:space="preserve">. Say you ask the model to write a Python function, </w:t>
      </w:r>
      <w:r>
        <w:rPr>
          <w:rFonts w:ascii="Courier New" w:eastAsia="Courier New" w:hAnsi="Courier New" w:cs="Courier New"/>
          <w:sz w:val="20"/>
        </w:rPr>
        <w:t>gcd(num1, num2)</w:t>
      </w:r>
      <w:r>
        <w:t xml:space="preserve">, to find the greatest common denominator (gcd) of two numbers, num1 and num2. The generated code can then be input into a Python interpreter to check whether the code is valid and if it is, whether it outputs the correct result of a given pair </w:t>
      </w:r>
      <w:r>
        <w:rPr>
          <w:rFonts w:ascii="Courier New" w:eastAsia="Courier New" w:hAnsi="Courier New" w:cs="Courier New"/>
          <w:sz w:val="20"/>
        </w:rPr>
        <w:t>(num1, num2)</w:t>
      </w:r>
      <w:r>
        <w:t xml:space="preserve">. For example, given the pair </w:t>
      </w:r>
      <w:r>
        <w:rPr>
          <w:rFonts w:ascii="Courier New" w:eastAsia="Courier New" w:hAnsi="Courier New" w:cs="Courier New"/>
          <w:sz w:val="20"/>
        </w:rPr>
        <w:t>(num1=15, num2=20)</w:t>
      </w:r>
      <w:r>
        <w:t xml:space="preserve">, if the function </w:t>
      </w:r>
      <w:r>
        <w:rPr>
          <w:rFonts w:ascii="Courier New" w:eastAsia="Courier New" w:hAnsi="Courier New" w:cs="Courier New"/>
          <w:sz w:val="20"/>
        </w:rPr>
        <w:t xml:space="preserve">gcd(15, 20) </w:t>
      </w:r>
      <w:r>
        <w:t>doesn’t return 5, the correct answer, you know that the function is wrong.</w:t>
      </w:r>
    </w:p>
    <w:p w14:paraId="79F229CB" w14:textId="77777777" w:rsidR="006C08A6" w:rsidRDefault="00000000">
      <w:pPr>
        <w:ind w:left="-5"/>
      </w:pPr>
      <w:r>
        <w:t xml:space="preserve">Long before AI was used for writing code, automatically verifying code’s functional correctness was standard practice in software engineering. Code is typically validated with </w:t>
      </w:r>
      <w:r>
        <w:rPr>
          <w:color w:val="990000"/>
        </w:rPr>
        <w:t>unit tests</w:t>
      </w:r>
      <w:r>
        <w:t xml:space="preserve"> where code is executed in different scenarios to ensure that it generates the expected outputs. Functional correctness evaluation is how coding platforms like LeetCode and HackerRank validate the submitted solutions.</w:t>
      </w:r>
    </w:p>
    <w:p w14:paraId="5A3A4495" w14:textId="77777777" w:rsidR="006C08A6" w:rsidRDefault="00000000">
      <w:pPr>
        <w:ind w:left="-5"/>
      </w:pPr>
      <w:r>
        <w:t xml:space="preserve">Popular benchmarks for evaluating AI’s code generation capabilities, such as </w:t>
      </w:r>
      <w:r>
        <w:rPr>
          <w:color w:val="990000"/>
        </w:rPr>
        <w:t>OpenAI’s HumanEval</w:t>
      </w:r>
      <w:r>
        <w:t xml:space="preserve"> and </w:t>
      </w:r>
      <w:r>
        <w:rPr>
          <w:color w:val="990000"/>
        </w:rPr>
        <w:t>Google’s MBPP</w:t>
      </w:r>
      <w:r>
        <w:t xml:space="preserve"> (Mostly Basic Python Problems Dataset) use functional correctness as their metrics. Benchmarks for text-to-SQL (generating SQL queries from natural languages) like Spider (</w:t>
      </w:r>
      <w:r>
        <w:rPr>
          <w:color w:val="990000"/>
        </w:rPr>
        <w:t>Yu et al., 2018</w:t>
      </w:r>
      <w:r>
        <w:t>), BIRD-SQL (Big Bench for Large-scale Database Grounded Text-to-SQL Evaluation) (</w:t>
      </w:r>
      <w:r>
        <w:rPr>
          <w:color w:val="990000"/>
        </w:rPr>
        <w:t>Li et al., 2023</w:t>
      </w:r>
      <w:r>
        <w:t>), and WikiSQL (</w:t>
      </w:r>
      <w:r>
        <w:rPr>
          <w:color w:val="990000"/>
        </w:rPr>
        <w:t>Zhong, et al., 2017</w:t>
      </w:r>
      <w:r>
        <w:t>) also rely on functional correctness.</w:t>
      </w:r>
    </w:p>
    <w:p w14:paraId="08660171" w14:textId="77777777" w:rsidR="006C08A6" w:rsidRDefault="00000000">
      <w:pPr>
        <w:ind w:left="-5"/>
      </w:pPr>
      <w:r>
        <w:t>A benchmark problem comes with a set of test cases. Each test case consists of a scenario the code should run and the expected output for that scenario. Here’s an example of a problem and its test cases in HumanEval:</w:t>
      </w:r>
    </w:p>
    <w:p w14:paraId="4C520273" w14:textId="77777777" w:rsidR="006C08A6" w:rsidRDefault="00000000">
      <w:pPr>
        <w:spacing w:after="3" w:line="508" w:lineRule="auto"/>
        <w:ind w:left="350" w:right="4905"/>
        <w:jc w:val="left"/>
      </w:pPr>
      <w:r>
        <w:rPr>
          <w:rFonts w:ascii="Courier New" w:eastAsia="Courier New" w:hAnsi="Courier New" w:cs="Courier New"/>
          <w:b/>
          <w:sz w:val="17"/>
        </w:rPr>
        <w:t xml:space="preserve">Problem </w:t>
      </w:r>
      <w:r>
        <w:rPr>
          <w:rFonts w:ascii="Courier New" w:eastAsia="Courier New" w:hAnsi="Courier New" w:cs="Courier New"/>
          <w:sz w:val="17"/>
        </w:rPr>
        <w:t>from typing import List</w:t>
      </w:r>
    </w:p>
    <w:p w14:paraId="0134CAAD" w14:textId="77777777" w:rsidR="006C08A6" w:rsidRDefault="00000000">
      <w:pPr>
        <w:spacing w:after="3" w:line="257" w:lineRule="auto"/>
        <w:ind w:left="350"/>
        <w:jc w:val="left"/>
      </w:pPr>
      <w:r>
        <w:rPr>
          <w:rFonts w:ascii="Courier New" w:eastAsia="Courier New" w:hAnsi="Courier New" w:cs="Courier New"/>
          <w:sz w:val="17"/>
        </w:rPr>
        <w:t>def has_close_elements(numbers: List[float], threshold: float) -&gt; bool:       """ Check if in given list of numbers, are any two numbers closer to each       other than given threshold.</w:t>
      </w:r>
    </w:p>
    <w:p w14:paraId="614FFA9B" w14:textId="77777777" w:rsidR="006C08A6" w:rsidRDefault="00000000">
      <w:pPr>
        <w:spacing w:after="3" w:line="257" w:lineRule="auto"/>
        <w:ind w:left="350" w:right="910"/>
        <w:jc w:val="left"/>
      </w:pPr>
      <w:r>
        <w:rPr>
          <w:rFonts w:ascii="Courier New" w:eastAsia="Courier New" w:hAnsi="Courier New" w:cs="Courier New"/>
          <w:sz w:val="17"/>
        </w:rPr>
        <w:t xml:space="preserve">      &gt;&gt;&gt; has_close_elements([1.0, 2.0, 3.0], 0.5) False       &gt;&gt;&gt; has_close_elements([1.0, 2.8, 3.0, 4.0, 5.0, 2.0], 0.3) True </w:t>
      </w:r>
    </w:p>
    <w:p w14:paraId="544DE925" w14:textId="77777777" w:rsidR="006C08A6" w:rsidRDefault="00000000">
      <w:pPr>
        <w:spacing w:after="3" w:line="257" w:lineRule="auto"/>
        <w:ind w:left="350"/>
        <w:jc w:val="left"/>
      </w:pPr>
      <w:r>
        <w:rPr>
          <w:rFonts w:ascii="Courier New" w:eastAsia="Courier New" w:hAnsi="Courier New" w:cs="Courier New"/>
          <w:sz w:val="17"/>
        </w:rPr>
        <w:t xml:space="preserve">      """</w:t>
      </w:r>
    </w:p>
    <w:p w14:paraId="4BF617C4" w14:textId="77777777" w:rsidR="006C08A6" w:rsidRDefault="00000000">
      <w:pPr>
        <w:pStyle w:val="Heading3"/>
        <w:spacing w:after="200"/>
        <w:ind w:left="384" w:firstLine="0"/>
      </w:pPr>
      <w:r>
        <w:rPr>
          <w:rFonts w:ascii="Courier New" w:eastAsia="Courier New" w:hAnsi="Courier New" w:cs="Courier New"/>
          <w:sz w:val="17"/>
        </w:rPr>
        <w:t>Test cases (each assert statement represents a test case)</w:t>
      </w:r>
    </w:p>
    <w:p w14:paraId="3AFAA68D" w14:textId="77777777" w:rsidR="006C08A6" w:rsidRDefault="00000000">
      <w:pPr>
        <w:spacing w:after="136" w:line="257" w:lineRule="auto"/>
        <w:ind w:left="394" w:right="995"/>
        <w:jc w:val="left"/>
      </w:pPr>
      <w:r>
        <w:rPr>
          <w:rFonts w:ascii="Courier New" w:eastAsia="Courier New" w:hAnsi="Courier New" w:cs="Courier New"/>
          <w:sz w:val="17"/>
        </w:rPr>
        <w:t xml:space="preserve">def check(candidate):       assert candidate([1.0, 2.0, 3.9, 4.0, 5.0, 2.2], 0.3) == True       assert candidate([1.0, 2.0, 3.9, 4.0, 5.0, 2.2], 0.05) == False       assert candidate([1.0, 2.0, 5.9, 4.0, 5.0], 0.95) == True       </w:t>
      </w:r>
      <w:r>
        <w:rPr>
          <w:rFonts w:ascii="Courier New" w:eastAsia="Courier New" w:hAnsi="Courier New" w:cs="Courier New"/>
          <w:sz w:val="17"/>
        </w:rPr>
        <w:lastRenderedPageBreak/>
        <w:t>assert candidate([1.0, 2.0, 5.9, 4.0, 5.0], 0.8) == False       assert candidate([1.0, 2.0, 3.0, 4.0, 5.0, 2.0], 0.1) == True       assert candidate([1.1, 2.2, 3.1, 4.1, 5.1], 1.0) == True       assert candidate([1.1, 2.2, 3.1, 4.1, 5.1], 0.5) == False</w:t>
      </w:r>
    </w:p>
    <w:p w14:paraId="3CD43BBA" w14:textId="77777777" w:rsidR="006C08A6" w:rsidRDefault="00000000">
      <w:pPr>
        <w:ind w:left="-5"/>
      </w:pPr>
      <w:r>
        <w:t xml:space="preserve">When evaluating a model, for each problem a number of code samples, denoted as </w:t>
      </w:r>
      <w:r>
        <w:rPr>
          <w:i/>
        </w:rPr>
        <w:t>k</w:t>
      </w:r>
      <w:r>
        <w:t xml:space="preserve">, are generated. A model solves a problem if any of the </w:t>
      </w:r>
      <w:r>
        <w:rPr>
          <w:i/>
        </w:rPr>
        <w:t>k</w:t>
      </w:r>
      <w:r>
        <w:t xml:space="preserve"> code samples it generated pass all of that problem’s test cases. The final score, called </w:t>
      </w:r>
      <w:r>
        <w:rPr>
          <w:i/>
        </w:rPr>
        <w:t>pass@k</w:t>
      </w:r>
      <w:r>
        <w:t xml:space="preserve">, is the fraction of the solved problems out of all problems. If there are 10 problems and a model solves 5 with </w:t>
      </w:r>
      <w:r>
        <w:rPr>
          <w:i/>
        </w:rPr>
        <w:t>k</w:t>
      </w:r>
      <w:r>
        <w:t xml:space="preserve"> = 3, then that model’s pass@3 score is 50%. The more code samples a model generates, the more chance the model has at solving each problem, hence the greater the final score. This means that in expectation, pass@1 score should be lower than pass@3, which, in turn, should be lower than pass@10.</w:t>
      </w:r>
    </w:p>
    <w:p w14:paraId="35041381" w14:textId="77777777" w:rsidR="006C08A6" w:rsidRDefault="00000000">
      <w:pPr>
        <w:spacing w:after="333"/>
        <w:ind w:left="-5"/>
      </w:pPr>
      <w:r>
        <w:t xml:space="preserve">Another category of tasks whose functional correctness can be automatically evaluated is game bots. If you create a bot to play </w:t>
      </w:r>
      <w:r>
        <w:rPr>
          <w:i/>
        </w:rPr>
        <w:t>Tetris</w:t>
      </w:r>
      <w:r>
        <w:t>, you can tell how good the bot is by the score it gets. Tasks with measurable objectives can typically be evaluated using functional correctness. For example, if you ask AI to schedule your workloads to optimize energy consumption, the AI’s performance can be measured by how much energy it saves.</w:t>
      </w:r>
      <w:r>
        <w:rPr>
          <w:sz w:val="18"/>
          <w:vertAlign w:val="superscript"/>
        </w:rPr>
        <w:footnoteReference w:id="11"/>
      </w:r>
    </w:p>
    <w:p w14:paraId="786D19E5" w14:textId="77777777" w:rsidR="006C08A6" w:rsidRDefault="00000000">
      <w:pPr>
        <w:pStyle w:val="Heading2"/>
        <w:ind w:left="-5"/>
      </w:pPr>
      <w:r>
        <w:t>Similarity Measurements Against Reference Data</w:t>
      </w:r>
    </w:p>
    <w:p w14:paraId="0C8764D3" w14:textId="77777777" w:rsidR="006C08A6" w:rsidRDefault="00000000">
      <w:pPr>
        <w:ind w:left="-5"/>
      </w:pPr>
      <w:r>
        <w:t>If the task you care about can’t be automatically evaluated using functional correctness, one common approach is to evaluate AI’s outputs against reference data. For example, if you ask a model to translate a sentence from French to English, you can evaluate the generated English translation against the correct English translation.</w:t>
      </w:r>
    </w:p>
    <w:p w14:paraId="4133A53B" w14:textId="77777777" w:rsidR="006C08A6" w:rsidRDefault="00000000">
      <w:pPr>
        <w:ind w:left="-5"/>
      </w:pPr>
      <w:r>
        <w:t xml:space="preserve">Each example in the reference data follows the format (input, reference responses). An input can have multiple reference responses, such as multiple possible English translations of a French sentence. Reference responses are also called </w:t>
      </w:r>
      <w:r>
        <w:rPr>
          <w:i/>
        </w:rPr>
        <w:t>ground truths</w:t>
      </w:r>
      <w:r>
        <w:t xml:space="preserve"> or </w:t>
      </w:r>
      <w:r>
        <w:rPr>
          <w:i/>
        </w:rPr>
        <w:t>canonical responses</w:t>
      </w:r>
      <w:r>
        <w:t xml:space="preserve">. Metrics that require references are </w:t>
      </w:r>
      <w:r>
        <w:rPr>
          <w:i/>
        </w:rPr>
        <w:t>reference-based</w:t>
      </w:r>
      <w:r>
        <w:t>, and metrics that don’t are</w:t>
      </w:r>
      <w:r>
        <w:rPr>
          <w:i/>
        </w:rPr>
        <w:t xml:space="preserve"> reference-free</w:t>
      </w:r>
      <w:r>
        <w:t>.</w:t>
      </w:r>
    </w:p>
    <w:p w14:paraId="75569336" w14:textId="77777777" w:rsidR="006C08A6" w:rsidRDefault="00000000">
      <w:pPr>
        <w:ind w:left="-5"/>
      </w:pPr>
      <w:r>
        <w:t xml:space="preserve">Since this evaluation approach requires reference data, it’s bottlenecked by how much and how fast reference data can be generated. Reference data is generated typically by humans and increasingly by AIs. Using human-generated data as the reference means that we treat human performance as the gold standard, and AI’s performance is measured against human performance. Human-generated data can be expensive and time-consuming to generate, leading many to use AI to generate reference data instead. </w:t>
      </w:r>
      <w:r>
        <w:lastRenderedPageBreak/>
        <w:t>AI-generated data might still need human reviews, but the labor needed to review it is much less than the labor needed to generate reference data from scratch.</w:t>
      </w:r>
    </w:p>
    <w:p w14:paraId="155A6319" w14:textId="77777777" w:rsidR="006C08A6" w:rsidRDefault="00000000">
      <w:pPr>
        <w:spacing w:after="197"/>
        <w:ind w:left="-5"/>
      </w:pPr>
      <w:r>
        <w:t>Generated responses that are more similar to the reference responses are considered better. There are four ways to measure the similarity between two open-ended texts:</w:t>
      </w:r>
    </w:p>
    <w:p w14:paraId="47987FE3" w14:textId="77777777" w:rsidR="006C08A6" w:rsidRDefault="00000000">
      <w:pPr>
        <w:numPr>
          <w:ilvl w:val="0"/>
          <w:numId w:val="3"/>
        </w:numPr>
        <w:spacing w:after="76"/>
        <w:ind w:hanging="254"/>
      </w:pPr>
      <w:r>
        <w:t>Asking an evaluator to make the judgment whether two texts are the same</w:t>
      </w:r>
    </w:p>
    <w:p w14:paraId="406EFE15" w14:textId="77777777" w:rsidR="006C08A6" w:rsidRDefault="00000000">
      <w:pPr>
        <w:numPr>
          <w:ilvl w:val="0"/>
          <w:numId w:val="3"/>
        </w:numPr>
        <w:spacing w:after="77"/>
        <w:ind w:hanging="254"/>
      </w:pPr>
      <w:r>
        <w:t>Exact match: whether the generated response matches one of the reference responses exactly</w:t>
      </w:r>
    </w:p>
    <w:p w14:paraId="7D164491" w14:textId="77777777" w:rsidR="006C08A6" w:rsidRDefault="00000000">
      <w:pPr>
        <w:numPr>
          <w:ilvl w:val="0"/>
          <w:numId w:val="3"/>
        </w:numPr>
        <w:spacing w:after="77"/>
        <w:ind w:hanging="254"/>
      </w:pPr>
      <w:r>
        <w:t>Lexical similarity: how similar the generated response looks to the reference responses</w:t>
      </w:r>
    </w:p>
    <w:p w14:paraId="5A515FD1" w14:textId="77777777" w:rsidR="006C08A6" w:rsidRDefault="00000000">
      <w:pPr>
        <w:numPr>
          <w:ilvl w:val="0"/>
          <w:numId w:val="3"/>
        </w:numPr>
        <w:spacing w:after="197"/>
        <w:ind w:hanging="254"/>
      </w:pPr>
      <w:r>
        <w:t>Semantic similarity: how close the generated response is to the reference responses in meaning (semantics)</w:t>
      </w:r>
    </w:p>
    <w:p w14:paraId="7ED5B98D" w14:textId="77777777" w:rsidR="006C08A6" w:rsidRDefault="00000000">
      <w:pPr>
        <w:ind w:left="-5"/>
      </w:pPr>
      <w:r>
        <w:t>Two responses can be compared by human evaluators or AI evaluators. AI evaluators are increasingly common and will be the focus of the next section.</w:t>
      </w:r>
    </w:p>
    <w:p w14:paraId="683C5440" w14:textId="77777777" w:rsidR="006C08A6" w:rsidRDefault="00000000">
      <w:pPr>
        <w:ind w:left="-5"/>
      </w:pPr>
      <w:r>
        <w:t>This section focuses on hand-designed metrics: exact match, lexical similarity, and semantic similarity. Scores by exact matching are binary (match or not), whereas the other two scores are on a sliding scale (such as between 0 and 1 or between –1 and 1). Despite the ease of use and flexibility of the AI as a judge approach, hand-designed similarity measurements are still widely used in the industry for their exact nature.</w:t>
      </w:r>
    </w:p>
    <w:p w14:paraId="6D79092B" w14:textId="77777777" w:rsidR="006C08A6" w:rsidRDefault="00000000">
      <w:pPr>
        <w:spacing w:after="66" w:line="307" w:lineRule="auto"/>
        <w:ind w:left="1291" w:right="705"/>
      </w:pPr>
      <w:r>
        <w:rPr>
          <w:noProof/>
        </w:rPr>
        <w:drawing>
          <wp:anchor distT="0" distB="0" distL="114300" distR="114300" simplePos="0" relativeHeight="251660288" behindDoc="0" locked="0" layoutInCell="1" allowOverlap="0" wp14:anchorId="4C24DC09" wp14:editId="3D1A325E">
            <wp:simplePos x="0" y="0"/>
            <wp:positionH relativeFrom="column">
              <wp:posOffset>215973</wp:posOffset>
            </wp:positionH>
            <wp:positionV relativeFrom="paragraph">
              <wp:posOffset>19751</wp:posOffset>
            </wp:positionV>
            <wp:extent cx="481889" cy="628657"/>
            <wp:effectExtent l="0" t="0" r="0" b="0"/>
            <wp:wrapSquare wrapText="bothSides"/>
            <wp:docPr id="1460" name="Picture 1460"/>
            <wp:cNvGraphicFramePr/>
            <a:graphic xmlns:a="http://schemas.openxmlformats.org/drawingml/2006/main">
              <a:graphicData uri="http://schemas.openxmlformats.org/drawingml/2006/picture">
                <pic:pic xmlns:pic="http://schemas.openxmlformats.org/drawingml/2006/picture">
                  <pic:nvPicPr>
                    <pic:cNvPr id="1460" name="Picture 1460"/>
                    <pic:cNvPicPr/>
                  </pic:nvPicPr>
                  <pic:blipFill>
                    <a:blip r:embed="rId61"/>
                    <a:stretch>
                      <a:fillRect/>
                    </a:stretch>
                  </pic:blipFill>
                  <pic:spPr>
                    <a:xfrm>
                      <a:off x="0" y="0"/>
                      <a:ext cx="481889" cy="628657"/>
                    </a:xfrm>
                    <a:prstGeom prst="rect">
                      <a:avLst/>
                    </a:prstGeom>
                  </pic:spPr>
                </pic:pic>
              </a:graphicData>
            </a:graphic>
          </wp:anchor>
        </w:drawing>
      </w:r>
      <w:r>
        <w:rPr>
          <w:sz w:val="19"/>
        </w:rPr>
        <w:t xml:space="preserve">This section discusses how you can use similarity measurements to evaluate the quality of a generated output. However, you can also use similarity measurements for many other use cases, including but not limited to the following: </w:t>
      </w:r>
      <w:r>
        <w:rPr>
          <w:i/>
          <w:sz w:val="19"/>
        </w:rPr>
        <w:t xml:space="preserve">Retrieval and search </w:t>
      </w:r>
      <w:r>
        <w:rPr>
          <w:sz w:val="19"/>
        </w:rPr>
        <w:t xml:space="preserve">find items similar to a query </w:t>
      </w:r>
      <w:r>
        <w:rPr>
          <w:i/>
          <w:sz w:val="19"/>
        </w:rPr>
        <w:t xml:space="preserve">Ranking </w:t>
      </w:r>
      <w:r>
        <w:rPr>
          <w:sz w:val="19"/>
        </w:rPr>
        <w:t xml:space="preserve">rank items based on how similar they are to a query </w:t>
      </w:r>
      <w:r>
        <w:rPr>
          <w:i/>
          <w:sz w:val="19"/>
        </w:rPr>
        <w:t xml:space="preserve">Clustering </w:t>
      </w:r>
      <w:r>
        <w:rPr>
          <w:sz w:val="19"/>
        </w:rPr>
        <w:t xml:space="preserve">cluster items based on how similar they are to each other </w:t>
      </w:r>
      <w:r>
        <w:rPr>
          <w:i/>
          <w:sz w:val="19"/>
        </w:rPr>
        <w:t xml:space="preserve">Anomaly detection </w:t>
      </w:r>
      <w:r>
        <w:rPr>
          <w:sz w:val="19"/>
        </w:rPr>
        <w:t xml:space="preserve">detect items that are the least similar to the rest </w:t>
      </w:r>
      <w:r>
        <w:rPr>
          <w:i/>
          <w:sz w:val="19"/>
        </w:rPr>
        <w:t xml:space="preserve">Data deduplication </w:t>
      </w:r>
      <w:r>
        <w:rPr>
          <w:sz w:val="19"/>
        </w:rPr>
        <w:t>remove items that are too similar to other items</w:t>
      </w:r>
    </w:p>
    <w:p w14:paraId="5761A25E" w14:textId="77777777" w:rsidR="006C08A6" w:rsidRDefault="00000000">
      <w:pPr>
        <w:spacing w:after="310" w:line="247" w:lineRule="auto"/>
        <w:ind w:left="1291" w:right="705"/>
      </w:pPr>
      <w:r>
        <w:rPr>
          <w:sz w:val="19"/>
        </w:rPr>
        <w:t>Techniques discussed in this section will come up again throughout the book.</w:t>
      </w:r>
    </w:p>
    <w:p w14:paraId="579ED1C7" w14:textId="77777777" w:rsidR="006C08A6" w:rsidRDefault="00000000">
      <w:pPr>
        <w:pStyle w:val="Heading3"/>
        <w:ind w:left="-5"/>
      </w:pPr>
      <w:r>
        <w:t>Exact match</w:t>
      </w:r>
    </w:p>
    <w:p w14:paraId="02E2B323" w14:textId="77777777" w:rsidR="006C08A6" w:rsidRDefault="00000000">
      <w:pPr>
        <w:spacing w:after="197"/>
        <w:ind w:left="-5"/>
      </w:pPr>
      <w:r>
        <w:t>It’s considered an exact match if the generated response matches one of the reference responses exactly. Exact matching works for tasks that expect short, exact responses such as simple math problems, common knowledge queries, and trivia-style questions. Here are examples of inputs that have short, exact responses:</w:t>
      </w:r>
    </w:p>
    <w:p w14:paraId="4DFEF226" w14:textId="77777777" w:rsidR="006C08A6" w:rsidRDefault="00000000">
      <w:pPr>
        <w:numPr>
          <w:ilvl w:val="0"/>
          <w:numId w:val="4"/>
        </w:numPr>
        <w:spacing w:after="76"/>
        <w:ind w:hanging="187"/>
      </w:pPr>
      <w:r>
        <w:t>“What’s 2 + 3?”</w:t>
      </w:r>
    </w:p>
    <w:p w14:paraId="489C6AA2" w14:textId="77777777" w:rsidR="006C08A6" w:rsidRDefault="00000000">
      <w:pPr>
        <w:numPr>
          <w:ilvl w:val="0"/>
          <w:numId w:val="4"/>
        </w:numPr>
        <w:spacing w:after="76"/>
        <w:ind w:hanging="187"/>
      </w:pPr>
      <w:r>
        <w:t>“Who was the first woman to win a Nobel Prize?”</w:t>
      </w:r>
    </w:p>
    <w:p w14:paraId="33B396A1" w14:textId="77777777" w:rsidR="006C08A6" w:rsidRDefault="00000000">
      <w:pPr>
        <w:numPr>
          <w:ilvl w:val="0"/>
          <w:numId w:val="4"/>
        </w:numPr>
        <w:spacing w:after="76"/>
        <w:ind w:hanging="187"/>
      </w:pPr>
      <w:r>
        <w:lastRenderedPageBreak/>
        <w:t>“What’s my current account balance?”</w:t>
      </w:r>
    </w:p>
    <w:p w14:paraId="0BA666CC" w14:textId="77777777" w:rsidR="006C08A6" w:rsidRDefault="00000000">
      <w:pPr>
        <w:numPr>
          <w:ilvl w:val="0"/>
          <w:numId w:val="4"/>
        </w:numPr>
        <w:spacing w:after="196"/>
        <w:ind w:hanging="187"/>
      </w:pPr>
      <w:r>
        <w:t>“Fill in the blank: Paris to France is like ___ to England.”</w:t>
      </w:r>
    </w:p>
    <w:p w14:paraId="09C25E74" w14:textId="77777777" w:rsidR="006C08A6" w:rsidRDefault="00000000">
      <w:pPr>
        <w:ind w:left="-5"/>
      </w:pPr>
      <w:r>
        <w:t>There are variations to matching that take into account formatting issues. One variation is to accept any output that contains the reference response as a match. Consider the question “What’s 2 + 3?” The reference response is “5”. This variation accepts all outputs that contain “5”, including “The answer is 5” and “2 + 3 is 5”.</w:t>
      </w:r>
    </w:p>
    <w:p w14:paraId="00AE406A" w14:textId="77777777" w:rsidR="006C08A6" w:rsidRDefault="00000000">
      <w:pPr>
        <w:ind w:left="-5"/>
      </w:pPr>
      <w:r>
        <w:t>However, this variation can sometimes lead to the wrong solution being accepted. Consider the question “What year was Anne Frank born?” Anne Frank was born on June 12, 1929, so the correct response is 1929. If the model outputs “September 12, 1929”, the correct year is included in the output, but the output is factually wrong.</w:t>
      </w:r>
    </w:p>
    <w:p w14:paraId="37E9E5CB" w14:textId="77777777" w:rsidR="006C08A6" w:rsidRDefault="00000000">
      <w:pPr>
        <w:spacing w:after="250"/>
        <w:ind w:left="-5"/>
      </w:pPr>
      <w:r>
        <w:t>Beyond simple tasks, exact match rarely works. Given the original French sentence “Comment ça va?”, there are multiple possible English translations, such as “How are you?”, “How is everything?”, and “How are you doing?” If the reference data contains only these three translations and a model generates “How is it going?”, the model’s response will be marked as wrong. The longer and more complex the original text, the more possible translations there are. It’s impossible to create an exhaustive set of possible responses for an input. For complex tasks, lexical similarity and semantic similarity work better.</w:t>
      </w:r>
    </w:p>
    <w:p w14:paraId="23217AEF" w14:textId="77777777" w:rsidR="006C08A6" w:rsidRDefault="00000000">
      <w:pPr>
        <w:pStyle w:val="Heading3"/>
        <w:ind w:left="-5"/>
      </w:pPr>
      <w:r>
        <w:t>Lexical similarity</w:t>
      </w:r>
    </w:p>
    <w:p w14:paraId="5675EE20" w14:textId="77777777" w:rsidR="006C08A6" w:rsidRDefault="00000000">
      <w:pPr>
        <w:ind w:left="-5"/>
      </w:pPr>
      <w:r>
        <w:t>Lexical similarity measures how much two texts overlap. You can do this by first breaking each text into smaller tokens.</w:t>
      </w:r>
    </w:p>
    <w:p w14:paraId="053D3086" w14:textId="77777777" w:rsidR="006C08A6" w:rsidRDefault="00000000">
      <w:pPr>
        <w:spacing w:after="197"/>
        <w:ind w:left="-5"/>
      </w:pPr>
      <w:r>
        <w:t xml:space="preserve">In its simplest form, lexical similarity can be measured by counting how many tokens two texts have in common. As an example, consider the reference response </w:t>
      </w:r>
      <w:r>
        <w:rPr>
          <w:i/>
        </w:rPr>
        <w:t>“My cats scare the mice”</w:t>
      </w:r>
      <w:r>
        <w:t xml:space="preserve"> and two generated responses:</w:t>
      </w:r>
    </w:p>
    <w:p w14:paraId="177B3191" w14:textId="77777777" w:rsidR="006C08A6" w:rsidRDefault="00000000">
      <w:pPr>
        <w:numPr>
          <w:ilvl w:val="0"/>
          <w:numId w:val="5"/>
        </w:numPr>
        <w:spacing w:after="76"/>
        <w:ind w:hanging="187"/>
      </w:pPr>
      <w:r>
        <w:t>“My cats eat the mice”</w:t>
      </w:r>
    </w:p>
    <w:p w14:paraId="6C293395" w14:textId="77777777" w:rsidR="006C08A6" w:rsidRDefault="00000000">
      <w:pPr>
        <w:numPr>
          <w:ilvl w:val="0"/>
          <w:numId w:val="5"/>
        </w:numPr>
        <w:spacing w:after="196"/>
        <w:ind w:hanging="187"/>
      </w:pPr>
      <w:r>
        <w:t>“Cats and mice fight all the time”</w:t>
      </w:r>
    </w:p>
    <w:p w14:paraId="03ACC5E8" w14:textId="77777777" w:rsidR="006C08A6" w:rsidRDefault="00000000">
      <w:pPr>
        <w:spacing w:after="197"/>
        <w:ind w:left="-5"/>
      </w:pPr>
      <w:r>
        <w:t xml:space="preserve">Assume that each token is a word. If you count overlapping of individual words only, response A contains 4 out of 5 words in the reference response (the similarity score is 80%), whereas response B contains only 3 out of 5 (the similarity score is 60%). Response A is, therefore, considered more similar to the reference response. One way to measure lexical similarity is </w:t>
      </w:r>
      <w:r>
        <w:rPr>
          <w:i/>
        </w:rPr>
        <w:t>approximate string matching</w:t>
      </w:r>
      <w:r>
        <w:t xml:space="preserve">, known colloquially as </w:t>
      </w:r>
      <w:r>
        <w:rPr>
          <w:i/>
        </w:rPr>
        <w:t>fuzzy matching</w:t>
      </w:r>
      <w:r>
        <w:t xml:space="preserve">. It measures the similarity between two texts by counting how many edits it’d need to convert from one text to another, a number called </w:t>
      </w:r>
      <w:r>
        <w:rPr>
          <w:i/>
        </w:rPr>
        <w:t>edit distance</w:t>
      </w:r>
      <w:r>
        <w:t>. The usual three edit operations are:</w:t>
      </w:r>
    </w:p>
    <w:p w14:paraId="1631029E" w14:textId="77777777" w:rsidR="006C08A6" w:rsidRDefault="00000000">
      <w:pPr>
        <w:numPr>
          <w:ilvl w:val="0"/>
          <w:numId w:val="6"/>
        </w:numPr>
        <w:spacing w:after="78"/>
        <w:ind w:hanging="254"/>
      </w:pPr>
      <w:r>
        <w:t>Deletion: “b</w:t>
      </w:r>
      <w:r>
        <w:rPr>
          <w:i/>
        </w:rPr>
        <w:t>r</w:t>
      </w:r>
      <w:r>
        <w:t>ad” -&gt; “bad”</w:t>
      </w:r>
    </w:p>
    <w:p w14:paraId="713E16C0" w14:textId="77777777" w:rsidR="006C08A6" w:rsidRDefault="00000000">
      <w:pPr>
        <w:numPr>
          <w:ilvl w:val="0"/>
          <w:numId w:val="6"/>
        </w:numPr>
        <w:spacing w:after="78"/>
        <w:ind w:hanging="254"/>
      </w:pPr>
      <w:r>
        <w:t>Insertion: “bad” -&gt; “ba</w:t>
      </w:r>
      <w:r>
        <w:rPr>
          <w:i/>
        </w:rPr>
        <w:t>r</w:t>
      </w:r>
      <w:r>
        <w:t>d”</w:t>
      </w:r>
    </w:p>
    <w:p w14:paraId="75FBBC28" w14:textId="77777777" w:rsidR="006C08A6" w:rsidRDefault="00000000">
      <w:pPr>
        <w:numPr>
          <w:ilvl w:val="0"/>
          <w:numId w:val="6"/>
        </w:numPr>
        <w:spacing w:after="198"/>
        <w:ind w:hanging="254"/>
      </w:pPr>
      <w:r>
        <w:lastRenderedPageBreak/>
        <w:t>Substitution: “b</w:t>
      </w:r>
      <w:r>
        <w:rPr>
          <w:i/>
        </w:rPr>
        <w:t>a</w:t>
      </w:r>
      <w:r>
        <w:t>d” -&gt; “b</w:t>
      </w:r>
      <w:r>
        <w:rPr>
          <w:i/>
        </w:rPr>
        <w:t>e</w:t>
      </w:r>
      <w:r>
        <w:t>d”</w:t>
      </w:r>
    </w:p>
    <w:p w14:paraId="556E46D6" w14:textId="77777777" w:rsidR="006C08A6" w:rsidRDefault="00000000">
      <w:pPr>
        <w:ind w:left="-5"/>
      </w:pPr>
      <w:r>
        <w:t>Some fuzzy matchers also treat transposition, swapping two letters (e.g., “ma</w:t>
      </w:r>
      <w:r>
        <w:rPr>
          <w:i/>
        </w:rPr>
        <w:t>ts</w:t>
      </w:r>
      <w:r>
        <w:t>” -&gt; “ma</w:t>
      </w:r>
      <w:r>
        <w:rPr>
          <w:i/>
        </w:rPr>
        <w:t>st</w:t>
      </w:r>
      <w:r>
        <w:t>”), to be an edit. However, some fuzzy matchers treat each transposition as two edit operations: one deletion and one insertion.</w:t>
      </w:r>
    </w:p>
    <w:p w14:paraId="02A066C6" w14:textId="77777777" w:rsidR="006C08A6" w:rsidRDefault="00000000">
      <w:pPr>
        <w:ind w:left="-5"/>
      </w:pPr>
      <w:r>
        <w:t>For example, “bad” is one edit to “bard” and three edits to “cash”, so “bad” is considered more similar to “bard” than to “cash”.</w:t>
      </w:r>
    </w:p>
    <w:p w14:paraId="5E93640A" w14:textId="77777777" w:rsidR="006C08A6" w:rsidRDefault="00000000">
      <w:pPr>
        <w:spacing w:after="162"/>
        <w:ind w:left="-5"/>
      </w:pPr>
      <w:r>
        <w:t xml:space="preserve">Another way to measure lexical similarity is </w:t>
      </w:r>
      <w:r>
        <w:rPr>
          <w:i/>
        </w:rPr>
        <w:t>n-gram similarity</w:t>
      </w:r>
      <w:r>
        <w:t xml:space="preserve">, measured based on the overlapping of sequences of tokens, </w:t>
      </w:r>
      <w:r>
        <w:rPr>
          <w:i/>
        </w:rPr>
        <w:t>n-grams</w:t>
      </w:r>
      <w:r>
        <w:t>, instead of single tokens. A 1-gram (unigram) is a token. A 2-gram (bigram) is a set of two tokens. “My cats scare the mice” consists of four bigrams: “my cats”, “cats scare”, “scare the”, and “the mice”. You measure what percentage of n-grams in reference responses is also in the generated response.</w:t>
      </w:r>
      <w:r>
        <w:rPr>
          <w:sz w:val="18"/>
          <w:vertAlign w:val="superscript"/>
        </w:rPr>
        <w:footnoteReference w:id="12"/>
      </w:r>
    </w:p>
    <w:p w14:paraId="5771B09F" w14:textId="77777777" w:rsidR="006C08A6" w:rsidRDefault="00000000">
      <w:pPr>
        <w:ind w:left="-5"/>
      </w:pPr>
      <w:r>
        <w:t xml:space="preserve">Common metrics for lexical similarity are BLEU, ROUGE, METEOR++, TER, and CIDEr. They differ in exactly how the overlapping is calculated. Before foundation models, BLEU, ROUGE, and their relatives were common, especially for translation tasks. Since the rise of foundation models, fewer benchmarks use lexical similarity. Examples of benchmarks that use these metrics are </w:t>
      </w:r>
      <w:r>
        <w:rPr>
          <w:color w:val="990000"/>
        </w:rPr>
        <w:t>WMT</w:t>
      </w:r>
      <w:r>
        <w:t xml:space="preserve">, </w:t>
      </w:r>
      <w:r>
        <w:rPr>
          <w:color w:val="990000"/>
        </w:rPr>
        <w:t>COCO Captions</w:t>
      </w:r>
      <w:r>
        <w:t xml:space="preserve">, and </w:t>
      </w:r>
      <w:r>
        <w:rPr>
          <w:color w:val="990000"/>
        </w:rPr>
        <w:t>GEMv2</w:t>
      </w:r>
      <w:r>
        <w:t>.</w:t>
      </w:r>
    </w:p>
    <w:p w14:paraId="3F919E33" w14:textId="77777777" w:rsidR="006C08A6" w:rsidRDefault="00000000">
      <w:pPr>
        <w:ind w:left="-5"/>
      </w:pPr>
      <w:r>
        <w:t xml:space="preserve">A drawback of this method is that it requires curating a comprehensive set of reference responses. A good response can get a low similarity score if the reference set doesn’t contain any response that looks like it. On some benchmark examples, </w:t>
      </w:r>
      <w:r>
        <w:rPr>
          <w:color w:val="990000"/>
        </w:rPr>
        <w:t xml:space="preserve">Adept </w:t>
      </w:r>
      <w:r>
        <w:t xml:space="preserve">found that its model Fuyu performed poorly not because the model’s outputs were wrong, but because some correct answers were missing in the reference data. </w:t>
      </w:r>
      <w:r>
        <w:rPr>
          <w:color w:val="990000"/>
        </w:rPr>
        <w:t>Figure 3-5</w:t>
      </w:r>
      <w:r>
        <w:t xml:space="preserve"> shows an example of an image-captioning task in which Fuyu generated a correct caption but was given a low score.</w:t>
      </w:r>
    </w:p>
    <w:p w14:paraId="506EED95" w14:textId="77777777" w:rsidR="006C08A6" w:rsidRDefault="00000000">
      <w:pPr>
        <w:ind w:left="-5"/>
      </w:pPr>
      <w:r>
        <w:t>Not only that, but references can be wrong. For example, the organizers of the WMT 2023 Metrics shared task, which focuses on examining evaluation metrics for machine translation, reported that they found many bad reference translations in their data. Low-quality reference data is one of the reasons that reference-free metrics were strong contenders for reference-based metrics in terms of correlation to human judgment (</w:t>
      </w:r>
      <w:r>
        <w:rPr>
          <w:color w:val="990000"/>
        </w:rPr>
        <w:t>Freitag et al., 2023</w:t>
      </w:r>
      <w:r>
        <w:t>).</w:t>
      </w:r>
    </w:p>
    <w:p w14:paraId="4A9D4BEA" w14:textId="77777777" w:rsidR="006C08A6" w:rsidRDefault="00000000">
      <w:pPr>
        <w:ind w:left="-5"/>
      </w:pPr>
      <w:r>
        <w:t xml:space="preserve">Another drawback of this measurement is that higher lexical similarity scores don’t always mean better responses. For example, on HumanEval, a code generation benchmark, OpenAI found that BLEU scores for incorrect and correct solutions were </w:t>
      </w:r>
      <w:r>
        <w:lastRenderedPageBreak/>
        <w:t>similar. This indicates that optimizing for BLEU scores isn’t the same as optimizing for functional correctness (</w:t>
      </w:r>
      <w:r>
        <w:rPr>
          <w:color w:val="990000"/>
        </w:rPr>
        <w:t>Chen et al., 2021</w:t>
      </w:r>
      <w:r>
        <w:t>).</w:t>
      </w:r>
    </w:p>
    <w:p w14:paraId="0F76213C" w14:textId="77777777" w:rsidR="006C08A6" w:rsidRDefault="00000000">
      <w:pPr>
        <w:spacing w:after="36" w:line="259" w:lineRule="auto"/>
        <w:ind w:left="1" w:right="-9" w:firstLine="0"/>
        <w:jc w:val="left"/>
      </w:pPr>
      <w:r>
        <w:rPr>
          <w:rFonts w:ascii="Calibri" w:eastAsia="Calibri" w:hAnsi="Calibri" w:cs="Calibri"/>
          <w:noProof/>
          <w:sz w:val="22"/>
        </w:rPr>
        <mc:AlternateContent>
          <mc:Choice Requires="wpg">
            <w:drawing>
              <wp:inline distT="0" distB="0" distL="0" distR="0" wp14:anchorId="310B059C" wp14:editId="0EE2F3C3">
                <wp:extent cx="4576905" cy="3302756"/>
                <wp:effectExtent l="0" t="0" r="0" b="0"/>
                <wp:docPr id="34576" name="Group 34576"/>
                <wp:cNvGraphicFramePr/>
                <a:graphic xmlns:a="http://schemas.openxmlformats.org/drawingml/2006/main">
                  <a:graphicData uri="http://schemas.microsoft.com/office/word/2010/wordprocessingGroup">
                    <wpg:wgp>
                      <wpg:cNvGrpSpPr/>
                      <wpg:grpSpPr>
                        <a:xfrm>
                          <a:off x="0" y="0"/>
                          <a:ext cx="4576905" cy="3302756"/>
                          <a:chOff x="0" y="0"/>
                          <a:chExt cx="4576905" cy="3302756"/>
                        </a:xfrm>
                      </wpg:grpSpPr>
                      <wps:wsp>
                        <wps:cNvPr id="1634" name="Shape 1634"/>
                        <wps:cNvSpPr/>
                        <wps:spPr>
                          <a:xfrm>
                            <a:off x="0" y="865"/>
                            <a:ext cx="4576905" cy="0"/>
                          </a:xfrm>
                          <a:custGeom>
                            <a:avLst/>
                            <a:gdLst/>
                            <a:ahLst/>
                            <a:cxnLst/>
                            <a:rect l="0" t="0" r="0" b="0"/>
                            <a:pathLst>
                              <a:path w="4576905">
                                <a:moveTo>
                                  <a:pt x="4576905" y="0"/>
                                </a:moveTo>
                                <a:lnTo>
                                  <a:pt x="71"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636" name="Shape 1636"/>
                        <wps:cNvSpPr/>
                        <wps:spPr>
                          <a:xfrm>
                            <a:off x="4576040" y="0"/>
                            <a:ext cx="0" cy="3302756"/>
                          </a:xfrm>
                          <a:custGeom>
                            <a:avLst/>
                            <a:gdLst/>
                            <a:ahLst/>
                            <a:cxnLst/>
                            <a:rect l="0" t="0" r="0" b="0"/>
                            <a:pathLst>
                              <a:path h="3302756">
                                <a:moveTo>
                                  <a:pt x="0" y="3302756"/>
                                </a:moveTo>
                                <a:lnTo>
                                  <a:pt x="0" y="71"/>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638" name="Shape 1638"/>
                        <wps:cNvSpPr/>
                        <wps:spPr>
                          <a:xfrm>
                            <a:off x="0" y="3301891"/>
                            <a:ext cx="4576905" cy="0"/>
                          </a:xfrm>
                          <a:custGeom>
                            <a:avLst/>
                            <a:gdLst/>
                            <a:ahLst/>
                            <a:cxnLst/>
                            <a:rect l="0" t="0" r="0" b="0"/>
                            <a:pathLst>
                              <a:path w="4576905">
                                <a:moveTo>
                                  <a:pt x="4576905" y="0"/>
                                </a:moveTo>
                                <a:lnTo>
                                  <a:pt x="4576834"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640" name="Shape 1640"/>
                        <wps:cNvSpPr/>
                        <wps:spPr>
                          <a:xfrm>
                            <a:off x="865" y="0"/>
                            <a:ext cx="0" cy="3302756"/>
                          </a:xfrm>
                          <a:custGeom>
                            <a:avLst/>
                            <a:gdLst/>
                            <a:ahLst/>
                            <a:cxnLst/>
                            <a:rect l="0" t="0" r="0" b="0"/>
                            <a:pathLst>
                              <a:path h="3302756">
                                <a:moveTo>
                                  <a:pt x="0" y="3302756"/>
                                </a:moveTo>
                                <a:lnTo>
                                  <a:pt x="0" y="3302685"/>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2" name="Picture 1642"/>
                          <pic:cNvPicPr/>
                        </pic:nvPicPr>
                        <pic:blipFill>
                          <a:blip r:embed="rId62"/>
                          <a:stretch>
                            <a:fillRect/>
                          </a:stretch>
                        </pic:blipFill>
                        <pic:spPr>
                          <a:xfrm>
                            <a:off x="231002" y="65952"/>
                            <a:ext cx="4114901" cy="3161580"/>
                          </a:xfrm>
                          <a:prstGeom prst="rect">
                            <a:avLst/>
                          </a:prstGeom>
                        </pic:spPr>
                      </pic:pic>
                    </wpg:wgp>
                  </a:graphicData>
                </a:graphic>
              </wp:inline>
            </w:drawing>
          </mc:Choice>
          <mc:Fallback xmlns:a="http://schemas.openxmlformats.org/drawingml/2006/main">
            <w:pict>
              <v:group id="Group 34576" style="width:360.386pt;height:260.06pt;mso-position-horizontal-relative:char;mso-position-vertical-relative:line" coordsize="45769,33027">
                <v:shape id="Shape 1634" style="position:absolute;width:45769;height:0;left:0;top:8;" coordsize="4576905,0" path="m4576905,0l71,0l0,0">
                  <v:stroke weight="0.25pt" endcap="round" joinstyle="miter" miterlimit="10" on="true" color="#000000"/>
                  <v:fill on="false" color="#000000" opacity="0"/>
                </v:shape>
                <v:shape id="Shape 1636" style="position:absolute;width:0;height:33027;left:45760;top:0;" coordsize="0,3302756" path="m0,3302756l0,71l0,0">
                  <v:stroke weight="0.25pt" endcap="round" joinstyle="miter" miterlimit="10" on="true" color="#000000"/>
                  <v:fill on="false" color="#000000" opacity="0"/>
                </v:shape>
                <v:shape id="Shape 1638" style="position:absolute;width:45769;height:0;left:0;top:33018;" coordsize="4576905,0" path="m4576905,0l4576834,0l0,0">
                  <v:stroke weight="0.25pt" endcap="round" joinstyle="miter" miterlimit="10" on="true" color="#000000"/>
                  <v:fill on="false" color="#000000" opacity="0"/>
                </v:shape>
                <v:shape id="Shape 1640" style="position:absolute;width:0;height:33027;left:8;top:0;" coordsize="0,3302756" path="m0,3302756l0,3302685l0,0">
                  <v:stroke weight="0.25pt" endcap="round" joinstyle="miter" miterlimit="10" on="true" color="#000000"/>
                  <v:fill on="false" color="#000000" opacity="0"/>
                </v:shape>
                <v:shape id="Picture 1642" style="position:absolute;width:41149;height:31615;left:2310;top:659;" filled="f">
                  <v:imagedata r:id="rId63"/>
                </v:shape>
              </v:group>
            </w:pict>
          </mc:Fallback>
        </mc:AlternateContent>
      </w:r>
    </w:p>
    <w:p w14:paraId="41E5AA60" w14:textId="77777777" w:rsidR="006C08A6" w:rsidRDefault="00000000">
      <w:pPr>
        <w:spacing w:after="235" w:line="254" w:lineRule="auto"/>
        <w:ind w:left="-5"/>
        <w:jc w:val="left"/>
      </w:pPr>
      <w:r>
        <w:rPr>
          <w:i/>
        </w:rPr>
        <w:t>Figure 3-5. An example where Fuyu generated a correct option but was given a low score because of the limitation of reference captions.</w:t>
      </w:r>
    </w:p>
    <w:p w14:paraId="22C60BD4" w14:textId="77777777" w:rsidR="006C08A6" w:rsidRDefault="00000000">
      <w:pPr>
        <w:pStyle w:val="Heading3"/>
        <w:ind w:left="-5"/>
      </w:pPr>
      <w:r>
        <w:t>Semantic similarity</w:t>
      </w:r>
    </w:p>
    <w:p w14:paraId="22C08D86" w14:textId="77777777" w:rsidR="006C08A6" w:rsidRDefault="00000000">
      <w:pPr>
        <w:ind w:left="-5"/>
      </w:pPr>
      <w:r>
        <w:t>Lexical similarity measures whether two texts look similar, not whether they have the same meaning. Consider the two sentences “What’s up?” and “How are you?” Lexically, they are different—there’s little overlapping in the words and letters they use. However, semantically, they are close. Conversely, similar-looking texts can mean very different things. “Let’s eat, grandma” and “Let’s eat grandma” mean two completely different things.</w:t>
      </w:r>
    </w:p>
    <w:p w14:paraId="5002086C" w14:textId="77777777" w:rsidR="006C08A6" w:rsidRDefault="00000000">
      <w:pPr>
        <w:ind w:left="-5"/>
      </w:pPr>
      <w:r>
        <w:rPr>
          <w:i/>
        </w:rPr>
        <w:t>Semantic similarity</w:t>
      </w:r>
      <w:r>
        <w:t xml:space="preserve"> aims to compute the similarity in semantics. This first requires transforming a text into a numerical representation, which is called an </w:t>
      </w:r>
      <w:r>
        <w:rPr>
          <w:i/>
        </w:rPr>
        <w:t>embedding</w:t>
      </w:r>
      <w:r>
        <w:t xml:space="preserve">. For example, the sentence “the cat sits on a mat” might be represented using an embedding that looks like this: </w:t>
      </w:r>
      <w:r>
        <w:rPr>
          <w:rFonts w:ascii="Courier New" w:eastAsia="Courier New" w:hAnsi="Courier New" w:cs="Courier New"/>
          <w:sz w:val="20"/>
        </w:rPr>
        <w:t>[0.11, 0.02, 0.54]</w:t>
      </w:r>
      <w:r>
        <w:t xml:space="preserve">. Semantic similarity is, therefore, also called </w:t>
      </w:r>
      <w:r>
        <w:rPr>
          <w:i/>
        </w:rPr>
        <w:t>embedding similarity</w:t>
      </w:r>
      <w:r>
        <w:t>.</w:t>
      </w:r>
    </w:p>
    <w:p w14:paraId="790A00A8" w14:textId="77777777" w:rsidR="006C08A6" w:rsidRDefault="00000000">
      <w:pPr>
        <w:ind w:left="-5"/>
      </w:pPr>
      <w:r>
        <w:rPr>
          <w:color w:val="990000"/>
        </w:rPr>
        <w:t>“Introduction to Embedding” on page 134</w:t>
      </w:r>
      <w:r>
        <w:t xml:space="preserve"> discusses how embeddings work. For now, let’s assume that you have a way to transform texts into embeddings. The similarity between two embeddings can be computed using metrics such as cosine similarity. Two </w:t>
      </w:r>
      <w:r>
        <w:lastRenderedPageBreak/>
        <w:t>embeddings that are exactly the same have a similarity score of 1. Two opposite embeddings have a similarity score of –1.</w:t>
      </w:r>
    </w:p>
    <w:p w14:paraId="0FC81CAD" w14:textId="77777777" w:rsidR="006C08A6" w:rsidRDefault="00000000">
      <w:pPr>
        <w:spacing w:after="285" w:line="249" w:lineRule="auto"/>
        <w:ind w:left="-5" w:right="-15"/>
      </w:pPr>
      <w:r>
        <w:rPr>
          <w:i/>
        </w:rPr>
        <w:t>I’m using text examples, but semantic similarity can be computed for embeddings of any data modality, including images and audio.</w:t>
      </w:r>
      <w:r>
        <w:t xml:space="preserve"> Semantic similarity for text is sometimes called semantic textual similarity.</w:t>
      </w:r>
    </w:p>
    <w:p w14:paraId="0B00E534" w14:textId="77777777" w:rsidR="006C08A6" w:rsidRDefault="00000000">
      <w:pPr>
        <w:spacing w:after="403" w:line="247" w:lineRule="auto"/>
        <w:ind w:left="1291" w:right="705"/>
      </w:pPr>
      <w:r>
        <w:rPr>
          <w:noProof/>
        </w:rPr>
        <w:drawing>
          <wp:anchor distT="0" distB="0" distL="114300" distR="114300" simplePos="0" relativeHeight="251661312" behindDoc="0" locked="0" layoutInCell="1" allowOverlap="0" wp14:anchorId="33AE3B42" wp14:editId="3E242E64">
            <wp:simplePos x="0" y="0"/>
            <wp:positionH relativeFrom="column">
              <wp:posOffset>139762</wp:posOffset>
            </wp:positionH>
            <wp:positionV relativeFrom="paragraph">
              <wp:posOffset>32451</wp:posOffset>
            </wp:positionV>
            <wp:extent cx="630936" cy="600832"/>
            <wp:effectExtent l="0" t="0" r="0" b="0"/>
            <wp:wrapSquare wrapText="bothSides"/>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56"/>
                    <a:stretch>
                      <a:fillRect/>
                    </a:stretch>
                  </pic:blipFill>
                  <pic:spPr>
                    <a:xfrm>
                      <a:off x="0" y="0"/>
                      <a:ext cx="630936" cy="600832"/>
                    </a:xfrm>
                    <a:prstGeom prst="rect">
                      <a:avLst/>
                    </a:prstGeom>
                  </pic:spPr>
                </pic:pic>
              </a:graphicData>
            </a:graphic>
          </wp:anchor>
        </w:drawing>
      </w:r>
      <w:r>
        <w:rPr>
          <w:sz w:val="19"/>
        </w:rPr>
        <w:t>While I put semantic similarity in the exact evaluation category, it can be considered subjective, as different embedding algorithms can produce different embeddings. However, given two embeddings, the similarity score between them is computed exactly.</w:t>
      </w:r>
    </w:p>
    <w:p w14:paraId="3C65B2E3" w14:textId="77777777" w:rsidR="006C08A6" w:rsidRDefault="00000000">
      <w:pPr>
        <w:spacing w:after="200"/>
        <w:ind w:left="-5"/>
      </w:pPr>
      <w:r>
        <w:t xml:space="preserve">Mathematically, let A be an embedding of the generated response, and B be an embedding of a reference response. The cosine similarity between A and B is computed as </w:t>
      </w:r>
      <w:r>
        <w:rPr>
          <w:i/>
        </w:rPr>
        <w:t xml:space="preserve">fracA </w:t>
      </w:r>
      <w:r>
        <w:t xml:space="preserve">· </w:t>
      </w:r>
      <w:r>
        <w:rPr>
          <w:i/>
        </w:rPr>
        <w:t xml:space="preserve">B </w:t>
      </w:r>
      <w:r>
        <w:t xml:space="preserve">| | </w:t>
      </w:r>
      <w:r>
        <w:rPr>
          <w:i/>
        </w:rPr>
        <w:t xml:space="preserve">A </w:t>
      </w:r>
      <w:r>
        <w:t xml:space="preserve">| | | | </w:t>
      </w:r>
      <w:r>
        <w:rPr>
          <w:i/>
        </w:rPr>
        <w:t xml:space="preserve">B </w:t>
      </w:r>
      <w:r>
        <w:t>| | , with:</w:t>
      </w:r>
    </w:p>
    <w:p w14:paraId="248C94BE" w14:textId="77777777" w:rsidR="006C08A6" w:rsidRDefault="00000000">
      <w:pPr>
        <w:numPr>
          <w:ilvl w:val="0"/>
          <w:numId w:val="7"/>
        </w:numPr>
        <w:spacing w:after="73"/>
        <w:ind w:left="370" w:hanging="197"/>
      </w:pPr>
      <w:r>
        <w:rPr>
          <w:i/>
        </w:rPr>
        <w:t xml:space="preserve">A </w:t>
      </w:r>
      <w:r>
        <w:t xml:space="preserve">· </w:t>
      </w:r>
      <w:r>
        <w:rPr>
          <w:i/>
        </w:rPr>
        <w:t>B</w:t>
      </w:r>
      <w:r>
        <w:t xml:space="preserve"> being the dot product of A and B</w:t>
      </w:r>
    </w:p>
    <w:p w14:paraId="4033148A" w14:textId="77777777" w:rsidR="006C08A6" w:rsidRDefault="00000000">
      <w:pPr>
        <w:numPr>
          <w:ilvl w:val="0"/>
          <w:numId w:val="7"/>
        </w:numPr>
        <w:spacing w:after="161" w:line="307" w:lineRule="auto"/>
        <w:ind w:left="370" w:hanging="197"/>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D147CE3" wp14:editId="6607B9AC">
                <wp:simplePos x="0" y="0"/>
                <wp:positionH relativeFrom="column">
                  <wp:posOffset>1522926</wp:posOffset>
                </wp:positionH>
                <wp:positionV relativeFrom="paragraph">
                  <wp:posOffset>191020</wp:posOffset>
                </wp:positionV>
                <wp:extent cx="1144929" cy="162687"/>
                <wp:effectExtent l="0" t="0" r="0" b="0"/>
                <wp:wrapNone/>
                <wp:docPr id="34623" name="Group 34623"/>
                <wp:cNvGraphicFramePr/>
                <a:graphic xmlns:a="http://schemas.openxmlformats.org/drawingml/2006/main">
                  <a:graphicData uri="http://schemas.microsoft.com/office/word/2010/wordprocessingGroup">
                    <wpg:wgp>
                      <wpg:cNvGrpSpPr/>
                      <wpg:grpSpPr>
                        <a:xfrm>
                          <a:off x="0" y="0"/>
                          <a:ext cx="1144929" cy="162687"/>
                          <a:chOff x="0" y="0"/>
                          <a:chExt cx="1144929" cy="162687"/>
                        </a:xfrm>
                      </wpg:grpSpPr>
                      <wps:wsp>
                        <wps:cNvPr id="1733" name="Shape 1733"/>
                        <wps:cNvSpPr/>
                        <wps:spPr>
                          <a:xfrm>
                            <a:off x="0" y="0"/>
                            <a:ext cx="1144929" cy="162687"/>
                          </a:xfrm>
                          <a:custGeom>
                            <a:avLst/>
                            <a:gdLst/>
                            <a:ahLst/>
                            <a:cxnLst/>
                            <a:rect l="0" t="0" r="0" b="0"/>
                            <a:pathLst>
                              <a:path w="1144929" h="162687">
                                <a:moveTo>
                                  <a:pt x="78094" y="0"/>
                                </a:moveTo>
                                <a:lnTo>
                                  <a:pt x="1144929" y="0"/>
                                </a:lnTo>
                                <a:lnTo>
                                  <a:pt x="1144929" y="4001"/>
                                </a:lnTo>
                                <a:lnTo>
                                  <a:pt x="81211" y="4001"/>
                                </a:lnTo>
                                <a:lnTo>
                                  <a:pt x="41206" y="162687"/>
                                </a:lnTo>
                                <a:lnTo>
                                  <a:pt x="14536" y="104013"/>
                                </a:lnTo>
                                <a:lnTo>
                                  <a:pt x="1201" y="118682"/>
                                </a:lnTo>
                                <a:lnTo>
                                  <a:pt x="0" y="116038"/>
                                </a:lnTo>
                                <a:lnTo>
                                  <a:pt x="23100" y="90628"/>
                                </a:lnTo>
                                <a:lnTo>
                                  <a:pt x="43778" y="136120"/>
                                </a:lnTo>
                                <a:lnTo>
                                  <a:pt x="78094" y="0"/>
                                </a:lnTo>
                                <a:close/>
                              </a:path>
                            </a:pathLst>
                          </a:custGeom>
                          <a:ln w="1334"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3" style="width:90.1519pt;height:12.81pt;position:absolute;z-index:60;mso-position-horizontal-relative:text;mso-position-horizontal:absolute;margin-left:119.915pt;mso-position-vertical-relative:text;margin-top:15.041pt;" coordsize="11449,1626">
                <v:shape id="Shape 1733" style="position:absolute;width:11449;height:1626;left:0;top:0;" coordsize="1144929,162687" path="m78094,0l1144929,0l1144929,4001l81211,4001l41206,162687l14536,104013l1201,118682l0,116038l23100,90628l43778,136120l78094,0x">
                  <v:stroke weight="0.105pt" endcap="flat" joinstyle="miter" miterlimit="10" on="true" color="#000000"/>
                  <v:fill on="true" color="#000000"/>
                </v:shape>
              </v:group>
            </w:pict>
          </mc:Fallback>
        </mc:AlternateContent>
      </w:r>
      <w:r>
        <w:t xml:space="preserve">| | </w:t>
      </w:r>
      <w:r>
        <w:rPr>
          <w:i/>
        </w:rPr>
        <w:t xml:space="preserve">A </w:t>
      </w:r>
      <w:r>
        <w:t xml:space="preserve">| | being the Euclidean norm (also known as </w:t>
      </w:r>
      <w:r>
        <w:rPr>
          <w:i/>
        </w:rPr>
        <w:t xml:space="preserve">L </w:t>
      </w:r>
      <w:r>
        <w:rPr>
          <w:vertAlign w:val="superscript"/>
        </w:rPr>
        <w:t>2</w:t>
      </w:r>
      <w:r>
        <w:t xml:space="preserve"> norm) of A. If A is [0.11, 0.02, 0.54], | | </w:t>
      </w:r>
      <w:r>
        <w:rPr>
          <w:i/>
        </w:rPr>
        <w:t xml:space="preserve">A </w:t>
      </w:r>
      <w:r>
        <w:t>| | = 0.11</w:t>
      </w:r>
      <w:r>
        <w:rPr>
          <w:sz w:val="19"/>
          <w:vertAlign w:val="superscript"/>
        </w:rPr>
        <w:t xml:space="preserve">2 </w:t>
      </w:r>
      <w:r>
        <w:t>+ 0.02</w:t>
      </w:r>
      <w:r>
        <w:rPr>
          <w:sz w:val="19"/>
          <w:vertAlign w:val="superscript"/>
        </w:rPr>
        <w:t xml:space="preserve">2 </w:t>
      </w:r>
      <w:r>
        <w:t>+ 0.54</w:t>
      </w:r>
      <w:r>
        <w:rPr>
          <w:sz w:val="19"/>
          <w:vertAlign w:val="superscript"/>
        </w:rPr>
        <w:t>2</w:t>
      </w:r>
    </w:p>
    <w:p w14:paraId="02A7D1F8" w14:textId="77777777" w:rsidR="006C08A6" w:rsidRDefault="00000000">
      <w:pPr>
        <w:ind w:left="-5"/>
      </w:pPr>
      <w:r>
        <w:t xml:space="preserve">Metrics for semantic textual similarity include </w:t>
      </w:r>
      <w:r>
        <w:rPr>
          <w:color w:val="990000"/>
        </w:rPr>
        <w:t>BERTScore</w:t>
      </w:r>
      <w:r>
        <w:t xml:space="preserve"> (embeddings are generated by BERT) and </w:t>
      </w:r>
      <w:r>
        <w:rPr>
          <w:color w:val="990000"/>
        </w:rPr>
        <w:t>MoverScore</w:t>
      </w:r>
      <w:r>
        <w:t xml:space="preserve"> (embeddings are generated by a mixture of algorithms).</w:t>
      </w:r>
    </w:p>
    <w:p w14:paraId="7B2ED6C8" w14:textId="77777777" w:rsidR="006C08A6" w:rsidRDefault="00000000">
      <w:pPr>
        <w:ind w:left="-5"/>
      </w:pPr>
      <w:r>
        <w:t>Semantic textual similarity doesn’t require a set of reference responses as comprehensive as lexical similarity does. However, the reliability of semantic similarity depends on the quality of the underlying embedding algorithm. Two texts with the same meaning can still have a low semantic similarity score if their embeddings are bad. Another drawback of this measurement is that the underlying embedding algorithm might require nontrivial compute and time to run.</w:t>
      </w:r>
    </w:p>
    <w:p w14:paraId="4EF29FA2" w14:textId="77777777" w:rsidR="006C08A6" w:rsidRDefault="00000000">
      <w:pPr>
        <w:ind w:left="-5"/>
      </w:pPr>
      <w:r>
        <w:t xml:space="preserve">Before we move on to discuss AI as a judge, let’s go over a quick introduction to embedding. The concept of embedding lies at the heart semantic similarity, and is the backbone of many topics we explore throughout the book, including vector search in </w:t>
      </w:r>
      <w:r>
        <w:rPr>
          <w:color w:val="990000"/>
        </w:rPr>
        <w:t>Chapter 6</w:t>
      </w:r>
      <w:r>
        <w:t xml:space="preserve"> and data deduplication in </w:t>
      </w:r>
      <w:r>
        <w:rPr>
          <w:color w:val="990000"/>
        </w:rPr>
        <w:t>Chapter 8</w:t>
      </w:r>
      <w:r>
        <w:t>.</w:t>
      </w:r>
    </w:p>
    <w:p w14:paraId="4CE2E6B0" w14:textId="77777777" w:rsidR="006C08A6" w:rsidRDefault="00000000">
      <w:pPr>
        <w:pStyle w:val="Heading2"/>
        <w:ind w:left="-5"/>
      </w:pPr>
      <w:r>
        <w:t>Introduction to Embedding</w:t>
      </w:r>
    </w:p>
    <w:p w14:paraId="37B8C9CD" w14:textId="77777777" w:rsidR="006C08A6" w:rsidRDefault="00000000">
      <w:pPr>
        <w:ind w:left="-5"/>
      </w:pPr>
      <w:r>
        <w:t xml:space="preserve">Since computers work with numbers, a model needs to convert its input into numerical representations that computers can process. </w:t>
      </w:r>
      <w:r>
        <w:rPr>
          <w:i/>
        </w:rPr>
        <w:t>An embedding is a numerical representation that aims to capture the meaning of the original data.</w:t>
      </w:r>
    </w:p>
    <w:p w14:paraId="47228B79" w14:textId="77777777" w:rsidR="006C08A6" w:rsidRDefault="00000000">
      <w:pPr>
        <w:spacing w:after="169"/>
        <w:ind w:left="-5"/>
      </w:pPr>
      <w:r>
        <w:t xml:space="preserve">An embedding is a vector. For example, the sentence </w:t>
      </w:r>
      <w:r>
        <w:rPr>
          <w:i/>
        </w:rPr>
        <w:t>“the cat sits on a mat”</w:t>
      </w:r>
      <w:r>
        <w:t xml:space="preserve"> might be represented using an embedding vector that looks like this: </w:t>
      </w:r>
      <w:r>
        <w:rPr>
          <w:rFonts w:ascii="Courier New" w:eastAsia="Courier New" w:hAnsi="Courier New" w:cs="Courier New"/>
          <w:sz w:val="20"/>
        </w:rPr>
        <w:t>[0.11, 0.02, 0.54]</w:t>
      </w:r>
      <w:r>
        <w:t xml:space="preserve">. Here, I use a small vector as an example. In reality, the size of an embedding vector </w:t>
      </w:r>
      <w:r>
        <w:lastRenderedPageBreak/>
        <w:t>(the number of elements in the embedding vector) is typically between 100 and 10,000.</w:t>
      </w:r>
      <w:r>
        <w:rPr>
          <w:sz w:val="18"/>
          <w:vertAlign w:val="superscript"/>
        </w:rPr>
        <w:footnoteReference w:id="13"/>
      </w:r>
    </w:p>
    <w:p w14:paraId="134D7E2C" w14:textId="77777777" w:rsidR="006C08A6" w:rsidRDefault="00000000">
      <w:pPr>
        <w:spacing w:after="239"/>
        <w:ind w:left="-5"/>
      </w:pPr>
      <w:r>
        <w:t xml:space="preserve">Models trained especially to produce embeddings include the open source models BERT, CLIP (Contrastive Language–Image Pre-training), and </w:t>
      </w:r>
      <w:r>
        <w:rPr>
          <w:color w:val="990000"/>
        </w:rPr>
        <w:t>Sentence Transformers</w:t>
      </w:r>
      <w:r>
        <w:t>. There are also proprietary embedding models provided as APIs.</w:t>
      </w:r>
      <w:r>
        <w:rPr>
          <w:sz w:val="18"/>
          <w:vertAlign w:val="superscript"/>
        </w:rPr>
        <w:footnoteReference w:id="14"/>
      </w:r>
      <w:r>
        <w:t xml:space="preserve"> </w:t>
      </w:r>
      <w:r>
        <w:rPr>
          <w:color w:val="990000"/>
        </w:rPr>
        <w:t xml:space="preserve">Table 3-2 </w:t>
      </w:r>
      <w:r>
        <w:t>shows the embedding sizes of some popular models.</w:t>
      </w:r>
    </w:p>
    <w:p w14:paraId="1EEE0FF7" w14:textId="77777777" w:rsidR="006C08A6" w:rsidRDefault="00000000">
      <w:pPr>
        <w:spacing w:after="3" w:line="259" w:lineRule="auto"/>
        <w:ind w:left="-5"/>
        <w:jc w:val="left"/>
      </w:pPr>
      <w:r>
        <w:rPr>
          <w:i/>
          <w:sz w:val="20"/>
        </w:rPr>
        <w:t>Table 3-2. Embedding sizes used by common models.</w:t>
      </w:r>
    </w:p>
    <w:tbl>
      <w:tblPr>
        <w:tblStyle w:val="TableGrid"/>
        <w:tblW w:w="5760" w:type="dxa"/>
        <w:tblInd w:w="44" w:type="dxa"/>
        <w:tblCellMar>
          <w:top w:w="7" w:type="dxa"/>
          <w:left w:w="72" w:type="dxa"/>
          <w:bottom w:w="0" w:type="dxa"/>
          <w:right w:w="115" w:type="dxa"/>
        </w:tblCellMar>
        <w:tblLook w:val="04A0" w:firstRow="1" w:lastRow="0" w:firstColumn="1" w:lastColumn="0" w:noHBand="0" w:noVBand="1"/>
      </w:tblPr>
      <w:tblGrid>
        <w:gridCol w:w="2649"/>
        <w:gridCol w:w="3111"/>
      </w:tblGrid>
      <w:tr w:rsidR="006C08A6" w14:paraId="18C37EDA" w14:textId="77777777">
        <w:trPr>
          <w:trHeight w:val="279"/>
        </w:trPr>
        <w:tc>
          <w:tcPr>
            <w:tcW w:w="2649" w:type="dxa"/>
            <w:tcBorders>
              <w:top w:val="nil"/>
              <w:left w:val="nil"/>
              <w:bottom w:val="single" w:sz="2" w:space="0" w:color="181717"/>
              <w:right w:val="nil"/>
            </w:tcBorders>
            <w:shd w:val="clear" w:color="auto" w:fill="000000"/>
          </w:tcPr>
          <w:p w14:paraId="2DE73021" w14:textId="77777777" w:rsidR="006C08A6" w:rsidRDefault="00000000">
            <w:pPr>
              <w:spacing w:after="0" w:line="259" w:lineRule="auto"/>
              <w:ind w:left="0" w:firstLine="0"/>
              <w:jc w:val="left"/>
            </w:pPr>
            <w:r>
              <w:rPr>
                <w:rFonts w:ascii="Calibri" w:eastAsia="Calibri" w:hAnsi="Calibri" w:cs="Calibri"/>
                <w:b/>
                <w:color w:val="FFFFFF"/>
                <w:sz w:val="18"/>
              </w:rPr>
              <w:t>Model</w:t>
            </w:r>
          </w:p>
        </w:tc>
        <w:tc>
          <w:tcPr>
            <w:tcW w:w="3111" w:type="dxa"/>
            <w:tcBorders>
              <w:top w:val="nil"/>
              <w:left w:val="nil"/>
              <w:bottom w:val="single" w:sz="2" w:space="0" w:color="181717"/>
              <w:right w:val="nil"/>
            </w:tcBorders>
            <w:shd w:val="clear" w:color="auto" w:fill="000000"/>
          </w:tcPr>
          <w:p w14:paraId="192E1AB6" w14:textId="77777777" w:rsidR="006C08A6" w:rsidRDefault="00000000">
            <w:pPr>
              <w:spacing w:after="0" w:line="259" w:lineRule="auto"/>
              <w:ind w:left="0" w:firstLine="0"/>
              <w:jc w:val="left"/>
            </w:pPr>
            <w:r>
              <w:rPr>
                <w:rFonts w:ascii="Calibri" w:eastAsia="Calibri" w:hAnsi="Calibri" w:cs="Calibri"/>
                <w:b/>
                <w:color w:val="FFFFFF"/>
                <w:sz w:val="18"/>
              </w:rPr>
              <w:t>Embedding size</w:t>
            </w:r>
          </w:p>
        </w:tc>
      </w:tr>
      <w:tr w:rsidR="006C08A6" w14:paraId="1BF199AF" w14:textId="77777777">
        <w:trPr>
          <w:trHeight w:val="476"/>
        </w:trPr>
        <w:tc>
          <w:tcPr>
            <w:tcW w:w="2649" w:type="dxa"/>
            <w:tcBorders>
              <w:top w:val="single" w:sz="2" w:space="0" w:color="181717"/>
              <w:left w:val="single" w:sz="2" w:space="0" w:color="181717"/>
              <w:bottom w:val="single" w:sz="2" w:space="0" w:color="181717"/>
              <w:right w:val="single" w:sz="2" w:space="0" w:color="181717"/>
            </w:tcBorders>
          </w:tcPr>
          <w:p w14:paraId="1EE636A8" w14:textId="77777777" w:rsidR="006C08A6" w:rsidRDefault="00000000">
            <w:pPr>
              <w:spacing w:after="0" w:line="259" w:lineRule="auto"/>
              <w:ind w:left="3" w:firstLine="0"/>
              <w:jc w:val="left"/>
            </w:pPr>
            <w:r>
              <w:rPr>
                <w:rFonts w:ascii="Calibri" w:eastAsia="Calibri" w:hAnsi="Calibri" w:cs="Calibri"/>
                <w:color w:val="990000"/>
                <w:sz w:val="18"/>
              </w:rPr>
              <w:t>Google’s BERT</w:t>
            </w:r>
          </w:p>
        </w:tc>
        <w:tc>
          <w:tcPr>
            <w:tcW w:w="3111" w:type="dxa"/>
            <w:tcBorders>
              <w:top w:val="single" w:sz="2" w:space="0" w:color="181717"/>
              <w:left w:val="single" w:sz="2" w:space="0" w:color="181717"/>
              <w:bottom w:val="single" w:sz="2" w:space="0" w:color="181717"/>
              <w:right w:val="single" w:sz="2" w:space="0" w:color="181717"/>
            </w:tcBorders>
          </w:tcPr>
          <w:p w14:paraId="00CB8D1F" w14:textId="77777777" w:rsidR="006C08A6" w:rsidRDefault="00000000">
            <w:pPr>
              <w:spacing w:after="0" w:line="259" w:lineRule="auto"/>
              <w:ind w:left="3" w:right="1803" w:firstLine="0"/>
              <w:jc w:val="left"/>
            </w:pPr>
            <w:r>
              <w:rPr>
                <w:rFonts w:ascii="Calibri" w:eastAsia="Calibri" w:hAnsi="Calibri" w:cs="Calibri"/>
                <w:sz w:val="18"/>
              </w:rPr>
              <w:t>BERT base: 768 BERT large: 1024</w:t>
            </w:r>
          </w:p>
        </w:tc>
      </w:tr>
      <w:tr w:rsidR="006C08A6" w14:paraId="75DA2DEE" w14:textId="77777777">
        <w:trPr>
          <w:trHeight w:val="477"/>
        </w:trPr>
        <w:tc>
          <w:tcPr>
            <w:tcW w:w="2649" w:type="dxa"/>
            <w:tcBorders>
              <w:top w:val="single" w:sz="2" w:space="0" w:color="181717"/>
              <w:left w:val="single" w:sz="2" w:space="0" w:color="181717"/>
              <w:bottom w:val="single" w:sz="2" w:space="0" w:color="181717"/>
              <w:right w:val="single" w:sz="2" w:space="0" w:color="181717"/>
            </w:tcBorders>
          </w:tcPr>
          <w:p w14:paraId="1EA183A1" w14:textId="77777777" w:rsidR="006C08A6" w:rsidRDefault="00000000">
            <w:pPr>
              <w:spacing w:after="0" w:line="259" w:lineRule="auto"/>
              <w:ind w:left="3" w:firstLine="0"/>
              <w:jc w:val="left"/>
            </w:pPr>
            <w:r>
              <w:rPr>
                <w:rFonts w:ascii="Calibri" w:eastAsia="Calibri" w:hAnsi="Calibri" w:cs="Calibri"/>
                <w:color w:val="990000"/>
                <w:sz w:val="18"/>
              </w:rPr>
              <w:t>OpenAI’s CLIP</w:t>
            </w:r>
          </w:p>
        </w:tc>
        <w:tc>
          <w:tcPr>
            <w:tcW w:w="3111" w:type="dxa"/>
            <w:tcBorders>
              <w:top w:val="single" w:sz="2" w:space="0" w:color="181717"/>
              <w:left w:val="single" w:sz="2" w:space="0" w:color="181717"/>
              <w:bottom w:val="single" w:sz="2" w:space="0" w:color="181717"/>
              <w:right w:val="single" w:sz="2" w:space="0" w:color="181717"/>
            </w:tcBorders>
          </w:tcPr>
          <w:p w14:paraId="3543672E" w14:textId="77777777" w:rsidR="006C08A6" w:rsidRDefault="00000000">
            <w:pPr>
              <w:spacing w:after="0" w:line="259" w:lineRule="auto"/>
              <w:ind w:left="3" w:right="2023" w:firstLine="0"/>
              <w:jc w:val="left"/>
            </w:pPr>
            <w:r>
              <w:rPr>
                <w:rFonts w:ascii="Calibri" w:eastAsia="Calibri" w:hAnsi="Calibri" w:cs="Calibri"/>
                <w:sz w:val="18"/>
              </w:rPr>
              <w:t>Image: 512 Text: 512</w:t>
            </w:r>
          </w:p>
        </w:tc>
      </w:tr>
      <w:tr w:rsidR="006C08A6" w14:paraId="7011D705" w14:textId="77777777">
        <w:trPr>
          <w:trHeight w:val="477"/>
        </w:trPr>
        <w:tc>
          <w:tcPr>
            <w:tcW w:w="2649" w:type="dxa"/>
            <w:tcBorders>
              <w:top w:val="single" w:sz="2" w:space="0" w:color="181717"/>
              <w:left w:val="single" w:sz="2" w:space="0" w:color="181717"/>
              <w:bottom w:val="single" w:sz="2" w:space="0" w:color="181717"/>
              <w:right w:val="single" w:sz="2" w:space="0" w:color="181717"/>
            </w:tcBorders>
          </w:tcPr>
          <w:p w14:paraId="4E210054" w14:textId="77777777" w:rsidR="006C08A6" w:rsidRDefault="00000000">
            <w:pPr>
              <w:spacing w:after="0" w:line="259" w:lineRule="auto"/>
              <w:ind w:left="3" w:firstLine="0"/>
              <w:jc w:val="left"/>
            </w:pPr>
            <w:r>
              <w:rPr>
                <w:rFonts w:ascii="Calibri" w:eastAsia="Calibri" w:hAnsi="Calibri" w:cs="Calibri"/>
                <w:color w:val="990000"/>
                <w:sz w:val="18"/>
              </w:rPr>
              <w:t>OpenAI Embeddings API</w:t>
            </w:r>
          </w:p>
        </w:tc>
        <w:tc>
          <w:tcPr>
            <w:tcW w:w="3111" w:type="dxa"/>
            <w:tcBorders>
              <w:top w:val="single" w:sz="2" w:space="0" w:color="181717"/>
              <w:left w:val="single" w:sz="2" w:space="0" w:color="181717"/>
              <w:bottom w:val="single" w:sz="2" w:space="0" w:color="181717"/>
              <w:right w:val="single" w:sz="2" w:space="0" w:color="181717"/>
            </w:tcBorders>
          </w:tcPr>
          <w:p w14:paraId="6316784C" w14:textId="77777777" w:rsidR="006C08A6" w:rsidRDefault="00000000">
            <w:pPr>
              <w:spacing w:after="0" w:line="259" w:lineRule="auto"/>
              <w:ind w:left="3" w:firstLine="0"/>
              <w:jc w:val="left"/>
            </w:pPr>
            <w:r>
              <w:rPr>
                <w:rFonts w:ascii="Calibri" w:eastAsia="Calibri" w:hAnsi="Calibri" w:cs="Calibri"/>
                <w:sz w:val="18"/>
              </w:rPr>
              <w:t>text-embedding-3-small: 1536 text-embedding-3-large: 3072</w:t>
            </w:r>
          </w:p>
        </w:tc>
      </w:tr>
      <w:tr w:rsidR="006C08A6" w14:paraId="0C56B30E" w14:textId="77777777">
        <w:trPr>
          <w:trHeight w:val="477"/>
        </w:trPr>
        <w:tc>
          <w:tcPr>
            <w:tcW w:w="2649" w:type="dxa"/>
            <w:tcBorders>
              <w:top w:val="single" w:sz="2" w:space="0" w:color="181717"/>
              <w:left w:val="single" w:sz="2" w:space="0" w:color="181717"/>
              <w:bottom w:val="single" w:sz="2" w:space="0" w:color="181717"/>
              <w:right w:val="single" w:sz="2" w:space="0" w:color="181717"/>
            </w:tcBorders>
          </w:tcPr>
          <w:p w14:paraId="7772CBBB" w14:textId="77777777" w:rsidR="006C08A6" w:rsidRDefault="00000000">
            <w:pPr>
              <w:spacing w:after="0" w:line="259" w:lineRule="auto"/>
              <w:ind w:left="3" w:firstLine="0"/>
              <w:jc w:val="left"/>
            </w:pPr>
            <w:r>
              <w:rPr>
                <w:rFonts w:ascii="Calibri" w:eastAsia="Calibri" w:hAnsi="Calibri" w:cs="Calibri"/>
                <w:color w:val="990000"/>
                <w:sz w:val="18"/>
              </w:rPr>
              <w:t>Cohere’s Embed v3</w:t>
            </w:r>
          </w:p>
        </w:tc>
        <w:tc>
          <w:tcPr>
            <w:tcW w:w="3111" w:type="dxa"/>
            <w:tcBorders>
              <w:top w:val="single" w:sz="2" w:space="0" w:color="181717"/>
              <w:left w:val="single" w:sz="2" w:space="0" w:color="181717"/>
              <w:bottom w:val="single" w:sz="2" w:space="0" w:color="181717"/>
              <w:right w:val="single" w:sz="2" w:space="0" w:color="181717"/>
            </w:tcBorders>
          </w:tcPr>
          <w:p w14:paraId="09FEBAF3" w14:textId="77777777" w:rsidR="006C08A6" w:rsidRDefault="00000000">
            <w:pPr>
              <w:spacing w:after="0" w:line="259" w:lineRule="auto"/>
              <w:ind w:left="3" w:right="44" w:firstLine="0"/>
              <w:jc w:val="left"/>
            </w:pPr>
            <w:r>
              <w:rPr>
                <w:rFonts w:ascii="Calibri" w:eastAsia="Calibri" w:hAnsi="Calibri" w:cs="Calibri"/>
                <w:sz w:val="18"/>
              </w:rPr>
              <w:t>embed-english-v3.0: 1024 embed-english-light-3.0: 384</w:t>
            </w:r>
          </w:p>
        </w:tc>
      </w:tr>
    </w:tbl>
    <w:p w14:paraId="751FCB18" w14:textId="77777777" w:rsidR="006C08A6" w:rsidRDefault="00000000">
      <w:pPr>
        <w:ind w:left="-5"/>
      </w:pPr>
      <w:r>
        <w:t xml:space="preserve">Because models typically require their inputs to first be transformed into vector representations, many ML models, including GPTs and Llamas, also involve a step to generate embeddings. </w:t>
      </w:r>
      <w:r>
        <w:rPr>
          <w:color w:val="990000"/>
        </w:rPr>
        <w:t>“Transformer architecture” on page 58</w:t>
      </w:r>
      <w:r>
        <w:t xml:space="preserve"> visualizes the embedding layer in a transformer model. If you have access to the intermediate layers of these models, you can use them to extract embeddings. However, the quality of these embeddings might not be as good as the embeddings generated by specialized embedding models.</w:t>
      </w:r>
    </w:p>
    <w:p w14:paraId="5FBF3B99" w14:textId="77777777" w:rsidR="006C08A6" w:rsidRDefault="00000000">
      <w:pPr>
        <w:ind w:left="-5"/>
      </w:pPr>
      <w:r>
        <w:t xml:space="preserve">The goal of the embedding algorithm is to produce embeddings that capture the essence of the original data. How do we verify that? The embedding vector </w:t>
      </w:r>
      <w:r>
        <w:rPr>
          <w:rFonts w:ascii="Courier New" w:eastAsia="Courier New" w:hAnsi="Courier New" w:cs="Courier New"/>
          <w:sz w:val="20"/>
        </w:rPr>
        <w:t>[0.11, 0.02, 0.54]</w:t>
      </w:r>
      <w:r>
        <w:t xml:space="preserve"> looks nothing like the original text “the cat sits on a mat”.</w:t>
      </w:r>
    </w:p>
    <w:p w14:paraId="465E3B5E" w14:textId="77777777" w:rsidR="006C08A6" w:rsidRDefault="00000000">
      <w:pPr>
        <w:ind w:left="-5"/>
      </w:pPr>
      <w:r>
        <w:t>At a high level, an embedding algorithm is considered good if more-similar texts have closer embeddings, measured by cosine similarity or related metrics. The embedding of the sentence “the cat sits on a mat” should be closer to the embedding of “the dog plays on the grass” than the embedding of “AI research is super fun”.</w:t>
      </w:r>
    </w:p>
    <w:p w14:paraId="2818565F" w14:textId="77777777" w:rsidR="006C08A6" w:rsidRDefault="00000000">
      <w:pPr>
        <w:ind w:left="-5"/>
      </w:pPr>
      <w:r>
        <w:lastRenderedPageBreak/>
        <w:t>You can also evaluate the quality of embeddings based on their utility for your task. Embeddings are used in many tasks, including classification, topic modeling, recommender systems, and RAG. An example of benchmarks that measure embedding quality on multiple tasks is MTEB, Massive Text Embedding Benchmark (</w:t>
      </w:r>
      <w:r>
        <w:rPr>
          <w:color w:val="990000"/>
        </w:rPr>
        <w:t>Muennighoff et al., 2023</w:t>
      </w:r>
      <w:r>
        <w:t>).</w:t>
      </w:r>
    </w:p>
    <w:p w14:paraId="48B65074" w14:textId="77777777" w:rsidR="006C08A6" w:rsidRDefault="00000000">
      <w:pPr>
        <w:ind w:left="-5"/>
      </w:pPr>
      <w:r>
        <w:t xml:space="preserve">I use texts as examples, but any data can have embedding representations. For example, ecommerce solutions like </w:t>
      </w:r>
      <w:r>
        <w:rPr>
          <w:color w:val="990000"/>
        </w:rPr>
        <w:t>Criteo</w:t>
      </w:r>
      <w:r>
        <w:t xml:space="preserve"> and </w:t>
      </w:r>
      <w:r>
        <w:rPr>
          <w:color w:val="990000"/>
        </w:rPr>
        <w:t>Coveo</w:t>
      </w:r>
      <w:r>
        <w:t xml:space="preserve"> have embeddings for products. </w:t>
      </w:r>
      <w:r>
        <w:rPr>
          <w:color w:val="990000"/>
        </w:rPr>
        <w:t>Pinterest</w:t>
      </w:r>
      <w:r>
        <w:t xml:space="preserve"> has embeddings for images, graphs, queries, and even users.</w:t>
      </w:r>
    </w:p>
    <w:p w14:paraId="15395918" w14:textId="77777777" w:rsidR="006C08A6" w:rsidRDefault="00000000">
      <w:pPr>
        <w:ind w:left="-5"/>
      </w:pPr>
      <w:r>
        <w:t>A new frontier is to create joint embeddings for data of different modalities. CLIP (</w:t>
      </w:r>
      <w:r>
        <w:rPr>
          <w:color w:val="990000"/>
        </w:rPr>
        <w:t>Radford et al., 2021</w:t>
      </w:r>
      <w:r>
        <w:t>) was one of the first major models that could map data of different modalities, text and images, into a joint embedding space. ULIP (unified representation of language, images, and point clouds), (</w:t>
      </w:r>
      <w:r>
        <w:rPr>
          <w:color w:val="990000"/>
        </w:rPr>
        <w:t>Xue et al., 2022</w:t>
      </w:r>
      <w:r>
        <w:t>) aims to create unified representations of text, images, and 3D point clouds. ImageBind (</w:t>
      </w:r>
      <w:r>
        <w:rPr>
          <w:color w:val="990000"/>
        </w:rPr>
        <w:t>Girdhar et al., 2023</w:t>
      </w:r>
      <w:r>
        <w:t>) learns a joint embedding across six different modalities, including text, images, and audio.</w:t>
      </w:r>
    </w:p>
    <w:p w14:paraId="541BB739" w14:textId="77777777" w:rsidR="006C08A6" w:rsidRDefault="00000000">
      <w:pPr>
        <w:ind w:left="-5"/>
      </w:pPr>
      <w:r>
        <w:rPr>
          <w:color w:val="990000"/>
        </w:rPr>
        <w:t>Figure 3-6</w:t>
      </w:r>
      <w:r>
        <w:t xml:space="preserve"> visualizes CLIP’s architecture. CLIP is trained using (image, text) pairs. The text corresponding to an image can be the caption or a comment associated with this image. For each (image, text) pair, CLIP uses a text encoder to convert the text to a text embedding, and an image encoder to convert the image to an image embedding. It then projects both these embeddings into a joint embedding space. The training goal is to get the embedding of an image close to the embedding of the corresponding text in this joint space.</w:t>
      </w:r>
    </w:p>
    <w:p w14:paraId="4650E6D0" w14:textId="77777777" w:rsidR="006C08A6" w:rsidRDefault="00000000">
      <w:pPr>
        <w:spacing w:after="36" w:line="259" w:lineRule="auto"/>
        <w:ind w:left="46" w:right="-9" w:firstLine="0"/>
        <w:jc w:val="left"/>
      </w:pPr>
      <w:r>
        <w:rPr>
          <w:rFonts w:ascii="Calibri" w:eastAsia="Calibri" w:hAnsi="Calibri" w:cs="Calibri"/>
          <w:noProof/>
          <w:sz w:val="22"/>
        </w:rPr>
        <mc:AlternateContent>
          <mc:Choice Requires="wpg">
            <w:drawing>
              <wp:inline distT="0" distB="0" distL="0" distR="0" wp14:anchorId="516AF7F1" wp14:editId="0FB6A714">
                <wp:extent cx="4576905" cy="2826469"/>
                <wp:effectExtent l="0" t="0" r="0" b="0"/>
                <wp:docPr id="32765" name="Group 32765"/>
                <wp:cNvGraphicFramePr/>
                <a:graphic xmlns:a="http://schemas.openxmlformats.org/drawingml/2006/main">
                  <a:graphicData uri="http://schemas.microsoft.com/office/word/2010/wordprocessingGroup">
                    <wpg:wgp>
                      <wpg:cNvGrpSpPr/>
                      <wpg:grpSpPr>
                        <a:xfrm>
                          <a:off x="0" y="0"/>
                          <a:ext cx="4576905" cy="2826469"/>
                          <a:chOff x="0" y="0"/>
                          <a:chExt cx="4576905" cy="2826469"/>
                        </a:xfrm>
                      </wpg:grpSpPr>
                      <wps:wsp>
                        <wps:cNvPr id="1961" name="Shape 1961"/>
                        <wps:cNvSpPr/>
                        <wps:spPr>
                          <a:xfrm>
                            <a:off x="0" y="865"/>
                            <a:ext cx="4576905" cy="0"/>
                          </a:xfrm>
                          <a:custGeom>
                            <a:avLst/>
                            <a:gdLst/>
                            <a:ahLst/>
                            <a:cxnLst/>
                            <a:rect l="0" t="0" r="0" b="0"/>
                            <a:pathLst>
                              <a:path w="4576905">
                                <a:moveTo>
                                  <a:pt x="4576905" y="0"/>
                                </a:moveTo>
                                <a:lnTo>
                                  <a:pt x="71"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963" name="Shape 1963"/>
                        <wps:cNvSpPr/>
                        <wps:spPr>
                          <a:xfrm>
                            <a:off x="4576040" y="0"/>
                            <a:ext cx="0" cy="2826469"/>
                          </a:xfrm>
                          <a:custGeom>
                            <a:avLst/>
                            <a:gdLst/>
                            <a:ahLst/>
                            <a:cxnLst/>
                            <a:rect l="0" t="0" r="0" b="0"/>
                            <a:pathLst>
                              <a:path h="2826469">
                                <a:moveTo>
                                  <a:pt x="0" y="2826469"/>
                                </a:moveTo>
                                <a:lnTo>
                                  <a:pt x="0" y="71"/>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965" name="Shape 1965"/>
                        <wps:cNvSpPr/>
                        <wps:spPr>
                          <a:xfrm>
                            <a:off x="0" y="2825604"/>
                            <a:ext cx="4576905" cy="0"/>
                          </a:xfrm>
                          <a:custGeom>
                            <a:avLst/>
                            <a:gdLst/>
                            <a:ahLst/>
                            <a:cxnLst/>
                            <a:rect l="0" t="0" r="0" b="0"/>
                            <a:pathLst>
                              <a:path w="4576905">
                                <a:moveTo>
                                  <a:pt x="4576905" y="0"/>
                                </a:moveTo>
                                <a:lnTo>
                                  <a:pt x="4576834"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967" name="Shape 1967"/>
                        <wps:cNvSpPr/>
                        <wps:spPr>
                          <a:xfrm>
                            <a:off x="865" y="0"/>
                            <a:ext cx="0" cy="2826469"/>
                          </a:xfrm>
                          <a:custGeom>
                            <a:avLst/>
                            <a:gdLst/>
                            <a:ahLst/>
                            <a:cxnLst/>
                            <a:rect l="0" t="0" r="0" b="0"/>
                            <a:pathLst>
                              <a:path h="2826469">
                                <a:moveTo>
                                  <a:pt x="0" y="2826469"/>
                                </a:moveTo>
                                <a:lnTo>
                                  <a:pt x="0" y="2826398"/>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75" name="Picture 1975"/>
                          <pic:cNvPicPr/>
                        </pic:nvPicPr>
                        <pic:blipFill>
                          <a:blip r:embed="rId64"/>
                          <a:stretch>
                            <a:fillRect/>
                          </a:stretch>
                        </pic:blipFill>
                        <pic:spPr>
                          <a:xfrm>
                            <a:off x="229524" y="65952"/>
                            <a:ext cx="4117857" cy="2685294"/>
                          </a:xfrm>
                          <a:prstGeom prst="rect">
                            <a:avLst/>
                          </a:prstGeom>
                        </pic:spPr>
                      </pic:pic>
                    </wpg:wgp>
                  </a:graphicData>
                </a:graphic>
              </wp:inline>
            </w:drawing>
          </mc:Choice>
          <mc:Fallback xmlns:a="http://schemas.openxmlformats.org/drawingml/2006/main">
            <w:pict>
              <v:group id="Group 32765" style="width:360.386pt;height:222.557pt;mso-position-horizontal-relative:char;mso-position-vertical-relative:line" coordsize="45769,28264">
                <v:shape id="Shape 1961" style="position:absolute;width:45769;height:0;left:0;top:8;" coordsize="4576905,0" path="m4576905,0l71,0l0,0">
                  <v:stroke weight="0.25pt" endcap="round" joinstyle="miter" miterlimit="10" on="true" color="#000000"/>
                  <v:fill on="false" color="#000000" opacity="0"/>
                </v:shape>
                <v:shape id="Shape 1963" style="position:absolute;width:0;height:28264;left:45760;top:0;" coordsize="0,2826469" path="m0,2826469l0,71l0,0">
                  <v:stroke weight="0.25pt" endcap="round" joinstyle="miter" miterlimit="10" on="true" color="#000000"/>
                  <v:fill on="false" color="#000000" opacity="0"/>
                </v:shape>
                <v:shape id="Shape 1965" style="position:absolute;width:45769;height:0;left:0;top:28256;" coordsize="4576905,0" path="m4576905,0l4576834,0l0,0">
                  <v:stroke weight="0.25pt" endcap="round" joinstyle="miter" miterlimit="10" on="true" color="#000000"/>
                  <v:fill on="false" color="#000000" opacity="0"/>
                </v:shape>
                <v:shape id="Shape 1967" style="position:absolute;width:0;height:28264;left:8;top:0;" coordsize="0,2826469" path="m0,2826469l0,2826398l0,0">
                  <v:stroke weight="0.25pt" endcap="round" joinstyle="miter" miterlimit="10" on="true" color="#000000"/>
                  <v:fill on="false" color="#000000" opacity="0"/>
                </v:shape>
                <v:shape id="Picture 1975" style="position:absolute;width:41178;height:26852;left:2295;top:659;" filled="f">
                  <v:imagedata r:id="rId65"/>
                </v:shape>
              </v:group>
            </w:pict>
          </mc:Fallback>
        </mc:AlternateContent>
      </w:r>
    </w:p>
    <w:p w14:paraId="28B3A2FD" w14:textId="77777777" w:rsidR="006C08A6" w:rsidRDefault="00000000">
      <w:pPr>
        <w:spacing w:after="235" w:line="254" w:lineRule="auto"/>
        <w:ind w:left="-5"/>
        <w:jc w:val="left"/>
      </w:pPr>
      <w:r>
        <w:rPr>
          <w:i/>
        </w:rPr>
        <w:t>Figure 3-6. CLIP’s architecture (Radford et al., 2021).</w:t>
      </w:r>
    </w:p>
    <w:p w14:paraId="0E808D32" w14:textId="77777777" w:rsidR="006C08A6" w:rsidRDefault="00000000">
      <w:pPr>
        <w:spacing w:after="351"/>
        <w:ind w:left="-5"/>
      </w:pPr>
      <w:r>
        <w:lastRenderedPageBreak/>
        <w:t xml:space="preserve">A joint embedding space that can represent data of different modalities is a </w:t>
      </w:r>
      <w:r>
        <w:rPr>
          <w:i/>
        </w:rPr>
        <w:t>multimodal embedding space</w:t>
      </w:r>
      <w:r>
        <w:t>. In a text–image joint embedding space, the embedding of an image of a man fishing should be closer to the embedding of the text “a fisherman” than the embedding of the text “fashion show”. This joint embedding space allows embeddings of different modalities to be compared and combined. For example, this enables text-based image search. Given a text, it helps you find images closest to this text.</w:t>
      </w:r>
    </w:p>
    <w:p w14:paraId="74B55D00" w14:textId="77777777" w:rsidR="006C08A6" w:rsidRDefault="00000000">
      <w:pPr>
        <w:pStyle w:val="Heading1"/>
        <w:ind w:left="-5"/>
      </w:pPr>
      <w:r>
        <w:t>AI as a Judge</w:t>
      </w:r>
    </w:p>
    <w:p w14:paraId="6CBDBEC9" w14:textId="77777777" w:rsidR="006C08A6" w:rsidRDefault="00000000">
      <w:pPr>
        <w:ind w:left="-5"/>
      </w:pPr>
      <w:r>
        <w:t xml:space="preserve">The challenges of evaluating open-ended responses have led many teams to fall back on human evaluation. As AI has successfully been used to automate many challenging tasks, can AI automate evaluation as well? The approach of using AI to evaluate AI is called AI as a judge or LLM as a judge. An AI model that is used to evaluate other AI models is called an </w:t>
      </w:r>
      <w:r>
        <w:rPr>
          <w:i/>
        </w:rPr>
        <w:t>AI judge</w:t>
      </w:r>
      <w:r>
        <w:t>.</w:t>
      </w:r>
      <w:r>
        <w:rPr>
          <w:sz w:val="18"/>
          <w:vertAlign w:val="superscript"/>
        </w:rPr>
        <w:footnoteReference w:id="15"/>
      </w:r>
    </w:p>
    <w:p w14:paraId="464D138A" w14:textId="77777777" w:rsidR="006C08A6" w:rsidRDefault="006C08A6">
      <w:pPr>
        <w:sectPr w:rsidR="006C08A6">
          <w:footerReference w:type="even" r:id="rId66"/>
          <w:footerReference w:type="default" r:id="rId67"/>
          <w:footerReference w:type="first" r:id="rId68"/>
          <w:pgSz w:w="10080" w:h="13230"/>
          <w:pgMar w:top="1010" w:right="1440" w:bottom="1392" w:left="1396" w:header="720" w:footer="810" w:gutter="0"/>
          <w:cols w:space="720"/>
        </w:sectPr>
      </w:pPr>
    </w:p>
    <w:p w14:paraId="15F36BFA" w14:textId="77777777" w:rsidR="006C08A6" w:rsidRDefault="00000000">
      <w:pPr>
        <w:spacing w:after="288"/>
        <w:ind w:left="-5"/>
      </w:pPr>
      <w:r>
        <w:lastRenderedPageBreak/>
        <w:t>While the idea of using AI to automate evaluation has been around for a long time,</w:t>
      </w:r>
      <w:r>
        <w:rPr>
          <w:sz w:val="18"/>
          <w:vertAlign w:val="superscript"/>
        </w:rPr>
        <w:footnoteReference w:id="16"/>
      </w:r>
      <w:r>
        <w:t xml:space="preserve">it only became practical when AI models became capable of doing so, which was around 2020 with the release of GPT-3. As of this writing, AI as a judge has become one of the most, if not the most, common methods for evaluating AI models in production. Most demos of AI evaluation startups I saw in 2023 and 2024 leveraged AI as a judge in one way or another. </w:t>
      </w:r>
      <w:r>
        <w:rPr>
          <w:color w:val="990000"/>
        </w:rPr>
        <w:t xml:space="preserve">LangChain’s </w:t>
      </w:r>
      <w:r>
        <w:rPr>
          <w:i/>
          <w:color w:val="990000"/>
        </w:rPr>
        <w:t>State of AI</w:t>
      </w:r>
      <w:r>
        <w:t xml:space="preserve"> report in 2023 noted that 58% of evaluations on their platform were done by AI judges. AI as a judge is also an active area of research.</w:t>
      </w:r>
    </w:p>
    <w:p w14:paraId="36821D4E" w14:textId="77777777" w:rsidR="006C08A6" w:rsidRDefault="00000000">
      <w:pPr>
        <w:spacing w:after="0" w:line="259" w:lineRule="auto"/>
        <w:ind w:left="-5"/>
        <w:jc w:val="left"/>
      </w:pPr>
      <w:r>
        <w:rPr>
          <w:rFonts w:ascii="Calibri" w:eastAsia="Calibri" w:hAnsi="Calibri" w:cs="Calibri"/>
          <w:b/>
          <w:sz w:val="32"/>
        </w:rPr>
        <w:t>Why AI as a Judge?</w:t>
      </w:r>
    </w:p>
    <w:p w14:paraId="38AAF7C1" w14:textId="77777777" w:rsidR="006C08A6" w:rsidRDefault="00000000">
      <w:pPr>
        <w:ind w:left="-5"/>
      </w:pPr>
      <w:r>
        <w:t>AI judges are fast, easy to use, and relatively cheap compared to human evaluators. They can also work without reference data, which means they can be used in production environments where there is no reference data.</w:t>
      </w:r>
    </w:p>
    <w:p w14:paraId="11EF665B" w14:textId="77777777" w:rsidR="006C08A6" w:rsidRDefault="00000000">
      <w:pPr>
        <w:ind w:left="-5"/>
      </w:pPr>
      <w:r>
        <w:t>You can ask AI models to judge an output based on any criteria: correctness, repetitiveness, toxicity, wholesomeness, hallucinations, and more. This is similar to how you can ask a person to give their opinion about anything. You might think, “But you can’t always trust people’s opinions.” That’s true, and you can’t always trust AI’s judgments, either. However, as each AI model is an aggregation of the masses, it’s possible for AI models to make judgments representative of the masses. With the right prompt for the right model, you can get reasonably good judgments on a wide range of topics.</w:t>
      </w:r>
    </w:p>
    <w:p w14:paraId="2836703A" w14:textId="77777777" w:rsidR="006C08A6" w:rsidRDefault="00000000">
      <w:pPr>
        <w:ind w:left="-5"/>
      </w:pPr>
      <w:r>
        <w:t xml:space="preserve">Studies have shown that certain AI judges are strongly correlated to human evaluators. In 2023, </w:t>
      </w:r>
      <w:r>
        <w:rPr>
          <w:color w:val="990000"/>
        </w:rPr>
        <w:t>Zheng et al.</w:t>
      </w:r>
      <w:r>
        <w:t xml:space="preserve"> found that on their evaluation benchmark, MT-Bench, the agreement between GPT-4 and humans reached 85%, which is even higher than the agreement among humans (81%). AlpacaEval authors (</w:t>
      </w:r>
      <w:r>
        <w:rPr>
          <w:color w:val="990000"/>
        </w:rPr>
        <w:t>Dubois et al., 2023</w:t>
      </w:r>
      <w:r>
        <w:t>) also found that their AI judges have a near perfect (0.98) correlation with LMSYS’s Chat Arena leaderboard, which is evaluated by humans.</w:t>
      </w:r>
    </w:p>
    <w:p w14:paraId="4B7C1944" w14:textId="77777777" w:rsidR="006C08A6" w:rsidRDefault="00000000">
      <w:pPr>
        <w:ind w:left="-5"/>
      </w:pPr>
      <w:r>
        <w:t xml:space="preserve">Not only can AI evaluate a response, but it can also explain its decision, which can be especially useful when you want to audit your evaluation results. </w:t>
      </w:r>
      <w:r>
        <w:rPr>
          <w:color w:val="990000"/>
        </w:rPr>
        <w:t>Figure 3-7</w:t>
      </w:r>
      <w:r>
        <w:t xml:space="preserve"> shows an example of GPT-4 explaining its judgment.</w:t>
      </w:r>
    </w:p>
    <w:p w14:paraId="72E22862" w14:textId="77777777" w:rsidR="006C08A6" w:rsidRDefault="00000000">
      <w:pPr>
        <w:ind w:left="-5"/>
      </w:pPr>
      <w:r>
        <w:t>Its flexibility makes AI as a judge useful for a wide range of applications, and for some applications, it’s the only automatic evaluation option. Even when AI judgments aren’t as good as human judgments, they might still be good enough to guide an application’s development and provide sufficient confidence to get a project off the ground.</w:t>
      </w:r>
    </w:p>
    <w:p w14:paraId="693419E8" w14:textId="77777777" w:rsidR="006C08A6" w:rsidRDefault="00000000">
      <w:pPr>
        <w:spacing w:after="36" w:line="259" w:lineRule="auto"/>
        <w:ind w:left="1" w:right="-9" w:firstLine="0"/>
        <w:jc w:val="left"/>
      </w:pPr>
      <w:r>
        <w:rPr>
          <w:rFonts w:ascii="Calibri" w:eastAsia="Calibri" w:hAnsi="Calibri" w:cs="Calibri"/>
          <w:noProof/>
          <w:sz w:val="22"/>
        </w:rPr>
        <w:lastRenderedPageBreak/>
        <mc:AlternateContent>
          <mc:Choice Requires="wpg">
            <w:drawing>
              <wp:inline distT="0" distB="0" distL="0" distR="0" wp14:anchorId="6D346B87" wp14:editId="0F0DFBE7">
                <wp:extent cx="4576905" cy="3706263"/>
                <wp:effectExtent l="0" t="0" r="0" b="0"/>
                <wp:docPr id="35445" name="Group 35445"/>
                <wp:cNvGraphicFramePr/>
                <a:graphic xmlns:a="http://schemas.openxmlformats.org/drawingml/2006/main">
                  <a:graphicData uri="http://schemas.microsoft.com/office/word/2010/wordprocessingGroup">
                    <wpg:wgp>
                      <wpg:cNvGrpSpPr/>
                      <wpg:grpSpPr>
                        <a:xfrm>
                          <a:off x="0" y="0"/>
                          <a:ext cx="4576905" cy="3706263"/>
                          <a:chOff x="0" y="0"/>
                          <a:chExt cx="4576905" cy="3706263"/>
                        </a:xfrm>
                      </wpg:grpSpPr>
                      <wps:wsp>
                        <wps:cNvPr id="2064" name="Shape 2064"/>
                        <wps:cNvSpPr/>
                        <wps:spPr>
                          <a:xfrm>
                            <a:off x="0" y="865"/>
                            <a:ext cx="4576905" cy="0"/>
                          </a:xfrm>
                          <a:custGeom>
                            <a:avLst/>
                            <a:gdLst/>
                            <a:ahLst/>
                            <a:cxnLst/>
                            <a:rect l="0" t="0" r="0" b="0"/>
                            <a:pathLst>
                              <a:path w="4576905">
                                <a:moveTo>
                                  <a:pt x="4576905" y="0"/>
                                </a:moveTo>
                                <a:lnTo>
                                  <a:pt x="71"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066" name="Shape 2066"/>
                        <wps:cNvSpPr/>
                        <wps:spPr>
                          <a:xfrm>
                            <a:off x="4576040" y="0"/>
                            <a:ext cx="0" cy="3706263"/>
                          </a:xfrm>
                          <a:custGeom>
                            <a:avLst/>
                            <a:gdLst/>
                            <a:ahLst/>
                            <a:cxnLst/>
                            <a:rect l="0" t="0" r="0" b="0"/>
                            <a:pathLst>
                              <a:path h="3706263">
                                <a:moveTo>
                                  <a:pt x="0" y="3706263"/>
                                </a:moveTo>
                                <a:lnTo>
                                  <a:pt x="0" y="71"/>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068" name="Shape 2068"/>
                        <wps:cNvSpPr/>
                        <wps:spPr>
                          <a:xfrm>
                            <a:off x="0" y="3705398"/>
                            <a:ext cx="4576905" cy="0"/>
                          </a:xfrm>
                          <a:custGeom>
                            <a:avLst/>
                            <a:gdLst/>
                            <a:ahLst/>
                            <a:cxnLst/>
                            <a:rect l="0" t="0" r="0" b="0"/>
                            <a:pathLst>
                              <a:path w="4576905">
                                <a:moveTo>
                                  <a:pt x="4576905" y="0"/>
                                </a:moveTo>
                                <a:lnTo>
                                  <a:pt x="4576834"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070" name="Shape 2070"/>
                        <wps:cNvSpPr/>
                        <wps:spPr>
                          <a:xfrm>
                            <a:off x="865" y="0"/>
                            <a:ext cx="0" cy="3706263"/>
                          </a:xfrm>
                          <a:custGeom>
                            <a:avLst/>
                            <a:gdLst/>
                            <a:ahLst/>
                            <a:cxnLst/>
                            <a:rect l="0" t="0" r="0" b="0"/>
                            <a:pathLst>
                              <a:path h="3706263">
                                <a:moveTo>
                                  <a:pt x="0" y="3706263"/>
                                </a:moveTo>
                                <a:lnTo>
                                  <a:pt x="0" y="3706192"/>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72" name="Picture 2072"/>
                          <pic:cNvPicPr/>
                        </pic:nvPicPr>
                        <pic:blipFill>
                          <a:blip r:embed="rId69"/>
                          <a:stretch>
                            <a:fillRect/>
                          </a:stretch>
                        </pic:blipFill>
                        <pic:spPr>
                          <a:xfrm>
                            <a:off x="93892" y="65952"/>
                            <a:ext cx="4389120" cy="3565088"/>
                          </a:xfrm>
                          <a:prstGeom prst="rect">
                            <a:avLst/>
                          </a:prstGeom>
                        </pic:spPr>
                      </pic:pic>
                    </wpg:wgp>
                  </a:graphicData>
                </a:graphic>
              </wp:inline>
            </w:drawing>
          </mc:Choice>
          <mc:Fallback xmlns:a="http://schemas.openxmlformats.org/drawingml/2006/main">
            <w:pict>
              <v:group id="Group 35445" style="width:360.386pt;height:291.832pt;mso-position-horizontal-relative:char;mso-position-vertical-relative:line" coordsize="45769,37062">
                <v:shape id="Shape 2064" style="position:absolute;width:45769;height:0;left:0;top:8;" coordsize="4576905,0" path="m4576905,0l71,0l0,0">
                  <v:stroke weight="0.25pt" endcap="round" joinstyle="miter" miterlimit="10" on="true" color="#000000"/>
                  <v:fill on="false" color="#000000" opacity="0"/>
                </v:shape>
                <v:shape id="Shape 2066" style="position:absolute;width:0;height:37062;left:45760;top:0;" coordsize="0,3706263" path="m0,3706263l0,71l0,0">
                  <v:stroke weight="0.25pt" endcap="round" joinstyle="miter" miterlimit="10" on="true" color="#000000"/>
                  <v:fill on="false" color="#000000" opacity="0"/>
                </v:shape>
                <v:shape id="Shape 2068" style="position:absolute;width:45769;height:0;left:0;top:37053;" coordsize="4576905,0" path="m4576905,0l4576834,0l0,0">
                  <v:stroke weight="0.25pt" endcap="round" joinstyle="miter" miterlimit="10" on="true" color="#000000"/>
                  <v:fill on="false" color="#000000" opacity="0"/>
                </v:shape>
                <v:shape id="Shape 2070" style="position:absolute;width:0;height:37062;left:8;top:0;" coordsize="0,3706263" path="m0,3706263l0,3706192l0,0">
                  <v:stroke weight="0.25pt" endcap="round" joinstyle="miter" miterlimit="10" on="true" color="#000000"/>
                  <v:fill on="false" color="#000000" opacity="0"/>
                </v:shape>
                <v:shape id="Picture 2072" style="position:absolute;width:43891;height:35650;left:938;top:659;" filled="f">
                  <v:imagedata r:id="rId70"/>
                </v:shape>
              </v:group>
            </w:pict>
          </mc:Fallback>
        </mc:AlternateContent>
      </w:r>
    </w:p>
    <w:p w14:paraId="0ED2BF1D" w14:textId="77777777" w:rsidR="006C08A6" w:rsidRDefault="00000000">
      <w:pPr>
        <w:spacing w:after="289" w:line="254" w:lineRule="auto"/>
        <w:ind w:left="-5"/>
        <w:jc w:val="left"/>
      </w:pPr>
      <w:r>
        <w:rPr>
          <w:i/>
        </w:rPr>
        <w:t>Figure 3-7. Not only can AI judges score, they also can explain their decisions.</w:t>
      </w:r>
    </w:p>
    <w:p w14:paraId="45FA693E" w14:textId="77777777" w:rsidR="006C08A6" w:rsidRDefault="00000000">
      <w:pPr>
        <w:pStyle w:val="Heading2"/>
        <w:ind w:left="-5"/>
      </w:pPr>
      <w:r>
        <w:t>How to Use AI as a Judge</w:t>
      </w:r>
    </w:p>
    <w:p w14:paraId="32A441B9" w14:textId="77777777" w:rsidR="006C08A6" w:rsidRDefault="00000000">
      <w:pPr>
        <w:spacing w:after="197"/>
        <w:ind w:left="-5"/>
      </w:pPr>
      <w:r>
        <w:t>There are many ways you can use AI to make judgments. For example, you can use AI to evaluate the quality of a response by itself, compare that response to reference data, or compare that response to another response. Here are naive example prompts for these three approaches:</w:t>
      </w:r>
    </w:p>
    <w:p w14:paraId="627A13A5" w14:textId="77777777" w:rsidR="006C08A6" w:rsidRDefault="00000000">
      <w:pPr>
        <w:numPr>
          <w:ilvl w:val="0"/>
          <w:numId w:val="8"/>
        </w:numPr>
        <w:spacing w:after="60"/>
        <w:ind w:hanging="254"/>
      </w:pPr>
      <w:r>
        <w:t>Evaluate the quality of a response by itself, given the original question:</w:t>
      </w:r>
    </w:p>
    <w:p w14:paraId="00509F0D" w14:textId="77777777" w:rsidR="006C08A6" w:rsidRDefault="00000000">
      <w:pPr>
        <w:spacing w:after="3" w:line="257" w:lineRule="auto"/>
        <w:ind w:left="695" w:right="295"/>
        <w:jc w:val="left"/>
      </w:pPr>
      <w:r>
        <w:rPr>
          <w:rFonts w:ascii="Courier New" w:eastAsia="Courier New" w:hAnsi="Courier New" w:cs="Courier New"/>
          <w:sz w:val="17"/>
        </w:rPr>
        <w:t>“Given the following question and answer, evaluate how good the answer is for the question. Use the score from 1 to 5. - 1 means very bad.</w:t>
      </w:r>
    </w:p>
    <w:p w14:paraId="2FF25DBC" w14:textId="77777777" w:rsidR="006C08A6" w:rsidRDefault="00000000">
      <w:pPr>
        <w:spacing w:after="3" w:line="257" w:lineRule="auto"/>
        <w:ind w:left="695"/>
        <w:jc w:val="left"/>
      </w:pPr>
      <w:r>
        <w:rPr>
          <w:rFonts w:ascii="Courier New" w:eastAsia="Courier New" w:hAnsi="Courier New" w:cs="Courier New"/>
          <w:sz w:val="17"/>
        </w:rPr>
        <w:t>- 5 means very good.</w:t>
      </w:r>
    </w:p>
    <w:p w14:paraId="0002CEFE" w14:textId="77777777" w:rsidR="006C08A6" w:rsidRDefault="00000000">
      <w:pPr>
        <w:spacing w:after="3" w:line="257" w:lineRule="auto"/>
        <w:ind w:left="695"/>
        <w:jc w:val="left"/>
      </w:pPr>
      <w:r>
        <w:rPr>
          <w:rFonts w:ascii="Courier New" w:eastAsia="Courier New" w:hAnsi="Courier New" w:cs="Courier New"/>
          <w:sz w:val="17"/>
        </w:rPr>
        <w:t>Question: [QUESTION]</w:t>
      </w:r>
    </w:p>
    <w:p w14:paraId="06CB9209" w14:textId="77777777" w:rsidR="006C08A6" w:rsidRDefault="00000000">
      <w:pPr>
        <w:spacing w:after="3" w:line="257" w:lineRule="auto"/>
        <w:ind w:left="695"/>
        <w:jc w:val="left"/>
      </w:pPr>
      <w:r>
        <w:rPr>
          <w:rFonts w:ascii="Courier New" w:eastAsia="Courier New" w:hAnsi="Courier New" w:cs="Courier New"/>
          <w:sz w:val="17"/>
        </w:rPr>
        <w:t>Answer: [ANSWER]</w:t>
      </w:r>
    </w:p>
    <w:p w14:paraId="4AAE19BE" w14:textId="77777777" w:rsidR="006C08A6" w:rsidRDefault="00000000">
      <w:pPr>
        <w:spacing w:after="3" w:line="257" w:lineRule="auto"/>
        <w:ind w:left="695"/>
        <w:jc w:val="left"/>
      </w:pPr>
      <w:r>
        <w:rPr>
          <w:rFonts w:ascii="Courier New" w:eastAsia="Courier New" w:hAnsi="Courier New" w:cs="Courier New"/>
          <w:sz w:val="17"/>
        </w:rPr>
        <w:t>Score:”</w:t>
      </w:r>
    </w:p>
    <w:p w14:paraId="141E77B9" w14:textId="77777777" w:rsidR="006C08A6" w:rsidRDefault="00000000">
      <w:pPr>
        <w:numPr>
          <w:ilvl w:val="0"/>
          <w:numId w:val="8"/>
        </w:numPr>
        <w:spacing w:after="62"/>
        <w:ind w:hanging="254"/>
      </w:pPr>
      <w:r>
        <w:t>Compare a generated response to a reference response to evaluate whether the generated response is the same as the reference response. This can be an alternative approach to human-designed similarity measurements:</w:t>
      </w:r>
    </w:p>
    <w:p w14:paraId="6FE3AB94" w14:textId="77777777" w:rsidR="006C08A6" w:rsidRDefault="00000000">
      <w:pPr>
        <w:spacing w:after="3" w:line="257" w:lineRule="auto"/>
        <w:ind w:left="695"/>
        <w:jc w:val="left"/>
      </w:pPr>
      <w:r>
        <w:rPr>
          <w:rFonts w:ascii="Courier New" w:eastAsia="Courier New" w:hAnsi="Courier New" w:cs="Courier New"/>
          <w:sz w:val="17"/>
        </w:rPr>
        <w:lastRenderedPageBreak/>
        <w:t xml:space="preserve">“Given the following question, reference answer, and generated answer, evaluate whether this generated answer is the same as the reference answer. </w:t>
      </w:r>
    </w:p>
    <w:p w14:paraId="0C3A2F86" w14:textId="77777777" w:rsidR="006C08A6" w:rsidRDefault="00000000">
      <w:pPr>
        <w:spacing w:after="3" w:line="257" w:lineRule="auto"/>
        <w:ind w:left="695"/>
        <w:jc w:val="left"/>
      </w:pPr>
      <w:r>
        <w:rPr>
          <w:rFonts w:ascii="Courier New" w:eastAsia="Courier New" w:hAnsi="Courier New" w:cs="Courier New"/>
          <w:sz w:val="17"/>
        </w:rPr>
        <w:t>Output True or False.</w:t>
      </w:r>
    </w:p>
    <w:p w14:paraId="2F3DEABE" w14:textId="77777777" w:rsidR="006C08A6" w:rsidRDefault="00000000">
      <w:pPr>
        <w:spacing w:after="3" w:line="257" w:lineRule="auto"/>
        <w:ind w:left="695"/>
        <w:jc w:val="left"/>
      </w:pPr>
      <w:r>
        <w:rPr>
          <w:rFonts w:ascii="Courier New" w:eastAsia="Courier New" w:hAnsi="Courier New" w:cs="Courier New"/>
          <w:sz w:val="17"/>
        </w:rPr>
        <w:t>Question: [QUESTION]</w:t>
      </w:r>
    </w:p>
    <w:p w14:paraId="7563444D" w14:textId="77777777" w:rsidR="006C08A6" w:rsidRDefault="00000000">
      <w:pPr>
        <w:spacing w:after="3" w:line="257" w:lineRule="auto"/>
        <w:ind w:left="695"/>
        <w:jc w:val="left"/>
      </w:pPr>
      <w:r>
        <w:rPr>
          <w:rFonts w:ascii="Courier New" w:eastAsia="Courier New" w:hAnsi="Courier New" w:cs="Courier New"/>
          <w:sz w:val="17"/>
        </w:rPr>
        <w:t>Reference answer: [REFERENCE ANSWER]</w:t>
      </w:r>
    </w:p>
    <w:p w14:paraId="7C403089" w14:textId="77777777" w:rsidR="006C08A6" w:rsidRDefault="00000000">
      <w:pPr>
        <w:spacing w:after="133" w:line="257" w:lineRule="auto"/>
        <w:ind w:left="695"/>
        <w:jc w:val="left"/>
      </w:pPr>
      <w:r>
        <w:rPr>
          <w:rFonts w:ascii="Courier New" w:eastAsia="Courier New" w:hAnsi="Courier New" w:cs="Courier New"/>
          <w:sz w:val="17"/>
        </w:rPr>
        <w:t>Generated answer: [GENERATED ANSWER]”</w:t>
      </w:r>
    </w:p>
    <w:p w14:paraId="4592EDA2" w14:textId="77777777" w:rsidR="006C08A6" w:rsidRDefault="00000000">
      <w:pPr>
        <w:numPr>
          <w:ilvl w:val="0"/>
          <w:numId w:val="8"/>
        </w:numPr>
        <w:spacing w:after="62"/>
        <w:ind w:hanging="254"/>
      </w:pPr>
      <w:r>
        <w:t xml:space="preserve">Compare two generated responses and determine which one is better or predict which one users will likely prefer. This is helpful for generating preference data for post-training alignment (discussed in </w:t>
      </w:r>
      <w:r>
        <w:rPr>
          <w:color w:val="990000"/>
        </w:rPr>
        <w:t>Chapter 2</w:t>
      </w:r>
      <w:r>
        <w:t xml:space="preserve">), test-time compute (discussed in </w:t>
      </w:r>
      <w:r>
        <w:rPr>
          <w:color w:val="990000"/>
        </w:rPr>
        <w:t>Chapter 2</w:t>
      </w:r>
      <w:r>
        <w:t>), and ranking models using comparative evaluation (discussed in the next section):</w:t>
      </w:r>
    </w:p>
    <w:p w14:paraId="30B32F0D" w14:textId="77777777" w:rsidR="006C08A6" w:rsidRDefault="00000000">
      <w:pPr>
        <w:spacing w:after="3" w:line="257" w:lineRule="auto"/>
        <w:ind w:left="695" w:right="465"/>
        <w:jc w:val="left"/>
      </w:pPr>
      <w:r>
        <w:rPr>
          <w:rFonts w:ascii="Courier New" w:eastAsia="Courier New" w:hAnsi="Courier New" w:cs="Courier New"/>
          <w:sz w:val="17"/>
        </w:rPr>
        <w:t>“Given the following question and two answers, evaluate which answer is better. Output A or B. Question: [QUESTION]</w:t>
      </w:r>
    </w:p>
    <w:p w14:paraId="6520DF56" w14:textId="77777777" w:rsidR="006C08A6" w:rsidRDefault="00000000">
      <w:pPr>
        <w:spacing w:after="3" w:line="257" w:lineRule="auto"/>
        <w:ind w:left="695"/>
        <w:jc w:val="left"/>
      </w:pPr>
      <w:r>
        <w:rPr>
          <w:rFonts w:ascii="Courier New" w:eastAsia="Courier New" w:hAnsi="Courier New" w:cs="Courier New"/>
          <w:sz w:val="17"/>
        </w:rPr>
        <w:t>A: [FIRST ANSWER]</w:t>
      </w:r>
    </w:p>
    <w:p w14:paraId="3924C960" w14:textId="77777777" w:rsidR="006C08A6" w:rsidRDefault="00000000">
      <w:pPr>
        <w:spacing w:after="3" w:line="257" w:lineRule="auto"/>
        <w:ind w:left="695"/>
        <w:jc w:val="left"/>
      </w:pPr>
      <w:r>
        <w:rPr>
          <w:rFonts w:ascii="Courier New" w:eastAsia="Courier New" w:hAnsi="Courier New" w:cs="Courier New"/>
          <w:sz w:val="17"/>
        </w:rPr>
        <w:t>B: [SECOND ANSWER]</w:t>
      </w:r>
    </w:p>
    <w:p w14:paraId="534E2743" w14:textId="77777777" w:rsidR="006C08A6" w:rsidRDefault="00000000">
      <w:pPr>
        <w:spacing w:after="253" w:line="257" w:lineRule="auto"/>
        <w:ind w:left="695"/>
        <w:jc w:val="left"/>
      </w:pPr>
      <w:r>
        <w:rPr>
          <w:rFonts w:ascii="Courier New" w:eastAsia="Courier New" w:hAnsi="Courier New" w:cs="Courier New"/>
          <w:sz w:val="17"/>
        </w:rPr>
        <w:t>The better answer is:”</w:t>
      </w:r>
    </w:p>
    <w:p w14:paraId="784528CD" w14:textId="77777777" w:rsidR="006C08A6" w:rsidRDefault="00000000">
      <w:pPr>
        <w:spacing w:after="239"/>
        <w:ind w:left="-5"/>
      </w:pPr>
      <w:r>
        <w:t xml:space="preserve">A general-purpose AI judge can be asked to evaluate a response based on any criteria. If you’re building a roleplaying chatbot, you might want to evaluate if a chatbot’s response is consistent with the role users want it to play, such as “Does this response sound like something Gandalf would say?” If you’re building an application to generate promotional product photos, you might want to ask “From 1 to 5, how would you rate the trustworthiness of the product in this image?” </w:t>
      </w:r>
      <w:r>
        <w:rPr>
          <w:color w:val="990000"/>
        </w:rPr>
        <w:t>Table 3-3</w:t>
      </w:r>
      <w:r>
        <w:t xml:space="preserve"> shows common built-in AI as a judge criteria offered by some AI tools.</w:t>
      </w:r>
    </w:p>
    <w:p w14:paraId="103B3D28" w14:textId="77777777" w:rsidR="006C08A6" w:rsidRDefault="00000000">
      <w:pPr>
        <w:spacing w:after="3" w:line="259" w:lineRule="auto"/>
        <w:ind w:left="-5"/>
        <w:jc w:val="left"/>
      </w:pPr>
      <w:r>
        <w:rPr>
          <w:i/>
          <w:sz w:val="20"/>
        </w:rPr>
        <w:t>Table 3-3. Examples of built-in AI as a judge criteria offered by some AI tools, as of September 2024. Note that as these tools evolve, these built-in criteria will change.</w:t>
      </w:r>
    </w:p>
    <w:tbl>
      <w:tblPr>
        <w:tblStyle w:val="TableGrid"/>
        <w:tblW w:w="7200" w:type="dxa"/>
        <w:tblInd w:w="0" w:type="dxa"/>
        <w:tblCellMar>
          <w:top w:w="7" w:type="dxa"/>
          <w:left w:w="72" w:type="dxa"/>
          <w:bottom w:w="0" w:type="dxa"/>
          <w:right w:w="74" w:type="dxa"/>
        </w:tblCellMar>
        <w:tblLook w:val="04A0" w:firstRow="1" w:lastRow="0" w:firstColumn="1" w:lastColumn="0" w:noHBand="0" w:noVBand="1"/>
      </w:tblPr>
      <w:tblGrid>
        <w:gridCol w:w="1785"/>
        <w:gridCol w:w="5415"/>
      </w:tblGrid>
      <w:tr w:rsidR="006C08A6" w14:paraId="4170ED73" w14:textId="77777777">
        <w:trPr>
          <w:trHeight w:val="279"/>
        </w:trPr>
        <w:tc>
          <w:tcPr>
            <w:tcW w:w="1785" w:type="dxa"/>
            <w:tcBorders>
              <w:top w:val="nil"/>
              <w:left w:val="nil"/>
              <w:bottom w:val="single" w:sz="2" w:space="0" w:color="181717"/>
              <w:right w:val="nil"/>
            </w:tcBorders>
            <w:shd w:val="clear" w:color="auto" w:fill="000000"/>
          </w:tcPr>
          <w:p w14:paraId="4BA5E499" w14:textId="77777777" w:rsidR="006C08A6" w:rsidRDefault="00000000">
            <w:pPr>
              <w:spacing w:after="0" w:line="259" w:lineRule="auto"/>
              <w:ind w:left="0" w:firstLine="0"/>
              <w:jc w:val="left"/>
            </w:pPr>
            <w:r>
              <w:rPr>
                <w:rFonts w:ascii="Calibri" w:eastAsia="Calibri" w:hAnsi="Calibri" w:cs="Calibri"/>
                <w:b/>
                <w:color w:val="FFFFFF"/>
                <w:sz w:val="18"/>
              </w:rPr>
              <w:t>AI Tools</w:t>
            </w:r>
          </w:p>
        </w:tc>
        <w:tc>
          <w:tcPr>
            <w:tcW w:w="5415" w:type="dxa"/>
            <w:tcBorders>
              <w:top w:val="nil"/>
              <w:left w:val="nil"/>
              <w:bottom w:val="single" w:sz="2" w:space="0" w:color="181717"/>
              <w:right w:val="nil"/>
            </w:tcBorders>
            <w:shd w:val="clear" w:color="auto" w:fill="000000"/>
          </w:tcPr>
          <w:p w14:paraId="363F9CD8" w14:textId="77777777" w:rsidR="006C08A6" w:rsidRDefault="00000000">
            <w:pPr>
              <w:spacing w:after="0" w:line="259" w:lineRule="auto"/>
              <w:ind w:left="0" w:firstLine="0"/>
              <w:jc w:val="left"/>
            </w:pPr>
            <w:r>
              <w:rPr>
                <w:rFonts w:ascii="Calibri" w:eastAsia="Calibri" w:hAnsi="Calibri" w:cs="Calibri"/>
                <w:b/>
                <w:color w:val="FFFFFF"/>
                <w:sz w:val="18"/>
              </w:rPr>
              <w:t>Built-in criteria</w:t>
            </w:r>
          </w:p>
        </w:tc>
      </w:tr>
      <w:tr w:rsidR="006C08A6" w14:paraId="433AA1E1" w14:textId="77777777">
        <w:trPr>
          <w:trHeight w:val="260"/>
        </w:trPr>
        <w:tc>
          <w:tcPr>
            <w:tcW w:w="1785" w:type="dxa"/>
            <w:tcBorders>
              <w:top w:val="single" w:sz="2" w:space="0" w:color="181717"/>
              <w:left w:val="single" w:sz="2" w:space="0" w:color="181717"/>
              <w:bottom w:val="single" w:sz="2" w:space="0" w:color="181717"/>
              <w:right w:val="single" w:sz="2" w:space="0" w:color="181717"/>
            </w:tcBorders>
          </w:tcPr>
          <w:p w14:paraId="24522C98" w14:textId="77777777" w:rsidR="006C08A6" w:rsidRDefault="00000000">
            <w:pPr>
              <w:spacing w:after="0" w:line="259" w:lineRule="auto"/>
              <w:ind w:left="3" w:firstLine="0"/>
              <w:jc w:val="left"/>
            </w:pPr>
            <w:r>
              <w:rPr>
                <w:rFonts w:ascii="Calibri" w:eastAsia="Calibri" w:hAnsi="Calibri" w:cs="Calibri"/>
                <w:color w:val="990000"/>
                <w:sz w:val="18"/>
              </w:rPr>
              <w:t>Azure AI Studio</w:t>
            </w:r>
          </w:p>
        </w:tc>
        <w:tc>
          <w:tcPr>
            <w:tcW w:w="5415" w:type="dxa"/>
            <w:tcBorders>
              <w:top w:val="single" w:sz="2" w:space="0" w:color="181717"/>
              <w:left w:val="single" w:sz="2" w:space="0" w:color="181717"/>
              <w:bottom w:val="single" w:sz="2" w:space="0" w:color="181717"/>
              <w:right w:val="single" w:sz="2" w:space="0" w:color="181717"/>
            </w:tcBorders>
          </w:tcPr>
          <w:p w14:paraId="7F85988F" w14:textId="77777777" w:rsidR="006C08A6" w:rsidRDefault="00000000">
            <w:pPr>
              <w:spacing w:after="0" w:line="259" w:lineRule="auto"/>
              <w:ind w:left="3" w:firstLine="0"/>
              <w:jc w:val="left"/>
            </w:pPr>
            <w:r>
              <w:rPr>
                <w:rFonts w:ascii="Calibri" w:eastAsia="Calibri" w:hAnsi="Calibri" w:cs="Calibri"/>
                <w:sz w:val="18"/>
              </w:rPr>
              <w:t>Groundedness, relevance, coherence, fluency, similarity</w:t>
            </w:r>
          </w:p>
        </w:tc>
      </w:tr>
      <w:tr w:rsidR="006C08A6" w14:paraId="5ED4EA95" w14:textId="77777777">
        <w:trPr>
          <w:trHeight w:val="261"/>
        </w:trPr>
        <w:tc>
          <w:tcPr>
            <w:tcW w:w="1785" w:type="dxa"/>
            <w:tcBorders>
              <w:top w:val="single" w:sz="2" w:space="0" w:color="181717"/>
              <w:left w:val="single" w:sz="2" w:space="0" w:color="181717"/>
              <w:bottom w:val="single" w:sz="2" w:space="0" w:color="181717"/>
              <w:right w:val="single" w:sz="2" w:space="0" w:color="181717"/>
            </w:tcBorders>
          </w:tcPr>
          <w:p w14:paraId="3B611F5D" w14:textId="77777777" w:rsidR="006C08A6" w:rsidRDefault="00000000">
            <w:pPr>
              <w:spacing w:after="0" w:line="259" w:lineRule="auto"/>
              <w:ind w:left="3" w:firstLine="0"/>
              <w:jc w:val="left"/>
            </w:pPr>
            <w:r>
              <w:rPr>
                <w:rFonts w:ascii="Calibri" w:eastAsia="Calibri" w:hAnsi="Calibri" w:cs="Calibri"/>
                <w:color w:val="990000"/>
                <w:sz w:val="18"/>
              </w:rPr>
              <w:t>MLflow.metrics</w:t>
            </w:r>
          </w:p>
        </w:tc>
        <w:tc>
          <w:tcPr>
            <w:tcW w:w="5415" w:type="dxa"/>
            <w:tcBorders>
              <w:top w:val="single" w:sz="2" w:space="0" w:color="181717"/>
              <w:left w:val="single" w:sz="2" w:space="0" w:color="181717"/>
              <w:bottom w:val="single" w:sz="2" w:space="0" w:color="181717"/>
              <w:right w:val="single" w:sz="2" w:space="0" w:color="181717"/>
            </w:tcBorders>
          </w:tcPr>
          <w:p w14:paraId="17FCF879" w14:textId="77777777" w:rsidR="006C08A6" w:rsidRDefault="00000000">
            <w:pPr>
              <w:spacing w:after="0" w:line="259" w:lineRule="auto"/>
              <w:ind w:left="3" w:firstLine="0"/>
              <w:jc w:val="left"/>
            </w:pPr>
            <w:r>
              <w:rPr>
                <w:rFonts w:ascii="Calibri" w:eastAsia="Calibri" w:hAnsi="Calibri" w:cs="Calibri"/>
                <w:sz w:val="18"/>
              </w:rPr>
              <w:t>Faithfulness, relevance</w:t>
            </w:r>
          </w:p>
        </w:tc>
      </w:tr>
      <w:tr w:rsidR="006C08A6" w14:paraId="72FDAF0F" w14:textId="77777777">
        <w:trPr>
          <w:trHeight w:val="477"/>
        </w:trPr>
        <w:tc>
          <w:tcPr>
            <w:tcW w:w="1785" w:type="dxa"/>
            <w:tcBorders>
              <w:top w:val="single" w:sz="2" w:space="0" w:color="181717"/>
              <w:left w:val="single" w:sz="2" w:space="0" w:color="181717"/>
              <w:bottom w:val="single" w:sz="2" w:space="0" w:color="181717"/>
              <w:right w:val="single" w:sz="2" w:space="0" w:color="181717"/>
            </w:tcBorders>
          </w:tcPr>
          <w:p w14:paraId="293851EA" w14:textId="77777777" w:rsidR="006C08A6" w:rsidRDefault="00000000">
            <w:pPr>
              <w:spacing w:after="0" w:line="259" w:lineRule="auto"/>
              <w:ind w:left="3" w:firstLine="0"/>
              <w:jc w:val="left"/>
            </w:pPr>
            <w:r>
              <w:rPr>
                <w:rFonts w:ascii="Calibri" w:eastAsia="Calibri" w:hAnsi="Calibri" w:cs="Calibri"/>
                <w:color w:val="990000"/>
                <w:sz w:val="18"/>
              </w:rPr>
              <w:t>LangChain Criteria Evaluation</w:t>
            </w:r>
          </w:p>
        </w:tc>
        <w:tc>
          <w:tcPr>
            <w:tcW w:w="5415" w:type="dxa"/>
            <w:tcBorders>
              <w:top w:val="single" w:sz="2" w:space="0" w:color="181717"/>
              <w:left w:val="single" w:sz="2" w:space="0" w:color="181717"/>
              <w:bottom w:val="single" w:sz="2" w:space="0" w:color="181717"/>
              <w:right w:val="single" w:sz="2" w:space="0" w:color="181717"/>
            </w:tcBorders>
          </w:tcPr>
          <w:p w14:paraId="70AB342E" w14:textId="77777777" w:rsidR="006C08A6" w:rsidRDefault="00000000">
            <w:pPr>
              <w:spacing w:after="0" w:line="259" w:lineRule="auto"/>
              <w:ind w:left="3" w:firstLine="0"/>
              <w:jc w:val="left"/>
            </w:pPr>
            <w:r>
              <w:rPr>
                <w:rFonts w:ascii="Calibri" w:eastAsia="Calibri" w:hAnsi="Calibri" w:cs="Calibri"/>
                <w:sz w:val="18"/>
              </w:rPr>
              <w:t>Conciseness, relevance, correctness, coherence, harmfulness, maliciousness, helpfulness, controversiality, misogyny, insensitivity, criminality</w:t>
            </w:r>
          </w:p>
        </w:tc>
      </w:tr>
      <w:tr w:rsidR="006C08A6" w14:paraId="55AE95DE" w14:textId="77777777">
        <w:trPr>
          <w:trHeight w:val="261"/>
        </w:trPr>
        <w:tc>
          <w:tcPr>
            <w:tcW w:w="1785" w:type="dxa"/>
            <w:tcBorders>
              <w:top w:val="single" w:sz="2" w:space="0" w:color="181717"/>
              <w:left w:val="single" w:sz="2" w:space="0" w:color="181717"/>
              <w:bottom w:val="single" w:sz="2" w:space="0" w:color="181717"/>
              <w:right w:val="single" w:sz="2" w:space="0" w:color="181717"/>
            </w:tcBorders>
          </w:tcPr>
          <w:p w14:paraId="0931D773" w14:textId="77777777" w:rsidR="006C08A6" w:rsidRDefault="00000000">
            <w:pPr>
              <w:spacing w:after="0" w:line="259" w:lineRule="auto"/>
              <w:ind w:left="3" w:firstLine="0"/>
              <w:jc w:val="left"/>
            </w:pPr>
            <w:r>
              <w:rPr>
                <w:rFonts w:ascii="Calibri" w:eastAsia="Calibri" w:hAnsi="Calibri" w:cs="Calibri"/>
                <w:color w:val="990000"/>
                <w:sz w:val="18"/>
              </w:rPr>
              <w:t>Ragas</w:t>
            </w:r>
          </w:p>
        </w:tc>
        <w:tc>
          <w:tcPr>
            <w:tcW w:w="5415" w:type="dxa"/>
            <w:tcBorders>
              <w:top w:val="single" w:sz="2" w:space="0" w:color="181717"/>
              <w:left w:val="single" w:sz="2" w:space="0" w:color="181717"/>
              <w:bottom w:val="single" w:sz="2" w:space="0" w:color="181717"/>
              <w:right w:val="single" w:sz="2" w:space="0" w:color="181717"/>
            </w:tcBorders>
          </w:tcPr>
          <w:p w14:paraId="58231A23" w14:textId="77777777" w:rsidR="006C08A6" w:rsidRDefault="00000000">
            <w:pPr>
              <w:spacing w:after="0" w:line="259" w:lineRule="auto"/>
              <w:ind w:left="3" w:firstLine="0"/>
              <w:jc w:val="left"/>
            </w:pPr>
            <w:r>
              <w:rPr>
                <w:rFonts w:ascii="Calibri" w:eastAsia="Calibri" w:hAnsi="Calibri" w:cs="Calibri"/>
                <w:sz w:val="18"/>
              </w:rPr>
              <w:t>Faithfulness, answer relevance</w:t>
            </w:r>
          </w:p>
        </w:tc>
      </w:tr>
    </w:tbl>
    <w:p w14:paraId="25B847BB" w14:textId="77777777" w:rsidR="006C08A6" w:rsidRDefault="00000000">
      <w:pPr>
        <w:spacing w:after="0"/>
        <w:ind w:left="-5"/>
      </w:pPr>
      <w:r>
        <w:t>It’s essential to remember that AI as a judge criteria aren’t standardized. Azure AI Studio’s relevance scores might be very different from MLflow’s relevance scores.</w:t>
      </w:r>
    </w:p>
    <w:p w14:paraId="29A4A1DC" w14:textId="77777777" w:rsidR="006C08A6" w:rsidRDefault="00000000">
      <w:pPr>
        <w:ind w:left="-5"/>
      </w:pPr>
      <w:r>
        <w:t>These scores depend on the judge’s underlying model and prompt.</w:t>
      </w:r>
    </w:p>
    <w:p w14:paraId="2BE22EFE" w14:textId="77777777" w:rsidR="006C08A6" w:rsidRDefault="00000000">
      <w:pPr>
        <w:spacing w:after="197"/>
        <w:ind w:left="-5"/>
      </w:pPr>
      <w:r>
        <w:t>How to prompt an AI judge is similar to how to prompt any AI application. In general, a judge’s prompt should clearly explain the following:</w:t>
      </w:r>
    </w:p>
    <w:p w14:paraId="1F319759" w14:textId="77777777" w:rsidR="006C08A6" w:rsidRDefault="00000000">
      <w:pPr>
        <w:numPr>
          <w:ilvl w:val="0"/>
          <w:numId w:val="9"/>
        </w:numPr>
        <w:spacing w:after="77"/>
        <w:ind w:hanging="254"/>
      </w:pPr>
      <w:r>
        <w:t>The task the model is to perform, such as to evaluate the relevance between a generated answer and the question.</w:t>
      </w:r>
    </w:p>
    <w:p w14:paraId="4C87F956" w14:textId="77777777" w:rsidR="006C08A6" w:rsidRDefault="00000000">
      <w:pPr>
        <w:numPr>
          <w:ilvl w:val="0"/>
          <w:numId w:val="9"/>
        </w:numPr>
        <w:spacing w:after="77"/>
        <w:ind w:hanging="254"/>
      </w:pPr>
      <w:r>
        <w:lastRenderedPageBreak/>
        <w:t>The criteria the model should follow to evaluate, such as “Your primary focus should be on determining whether the generated answer contains sufficient information to address the given question according to the ground truth answer”. The more detailed the instruction, the better.</w:t>
      </w:r>
    </w:p>
    <w:p w14:paraId="17754770" w14:textId="77777777" w:rsidR="006C08A6" w:rsidRDefault="00000000">
      <w:pPr>
        <w:numPr>
          <w:ilvl w:val="0"/>
          <w:numId w:val="9"/>
        </w:numPr>
        <w:spacing w:after="76"/>
        <w:ind w:hanging="254"/>
      </w:pPr>
      <w:r>
        <w:t>The scoring system, which can be one of these:</w:t>
      </w:r>
    </w:p>
    <w:p w14:paraId="09425C72" w14:textId="77777777" w:rsidR="006C08A6" w:rsidRDefault="00000000">
      <w:pPr>
        <w:numPr>
          <w:ilvl w:val="1"/>
          <w:numId w:val="9"/>
        </w:numPr>
        <w:spacing w:after="76"/>
        <w:ind w:hanging="187"/>
      </w:pPr>
      <w:r>
        <w:t>Classification, such as good/bad or relevant/irrelevant/neutral.</w:t>
      </w:r>
    </w:p>
    <w:p w14:paraId="51E14333" w14:textId="77777777" w:rsidR="006C08A6" w:rsidRDefault="00000000">
      <w:pPr>
        <w:numPr>
          <w:ilvl w:val="1"/>
          <w:numId w:val="9"/>
        </w:numPr>
        <w:spacing w:after="77"/>
        <w:ind w:hanging="187"/>
      </w:pPr>
      <w:r>
        <w:t>Discrete numerical values, such as 1 to 5. Discrete numerical values can be considered a special case of classification, where each class has a numerical interpretation instead of a semantic interpretation.</w:t>
      </w:r>
    </w:p>
    <w:p w14:paraId="49DBE7CC" w14:textId="77777777" w:rsidR="006C08A6" w:rsidRDefault="00000000">
      <w:pPr>
        <w:numPr>
          <w:ilvl w:val="1"/>
          <w:numId w:val="9"/>
        </w:numPr>
        <w:spacing w:after="482"/>
        <w:ind w:hanging="187"/>
      </w:pPr>
      <w:r>
        <w:t>Continuous numerical values, such as between 0 and 1, e.g., when you want to evaluate the degree of similarity.</w:t>
      </w:r>
    </w:p>
    <w:p w14:paraId="14586902" w14:textId="77777777" w:rsidR="006C08A6" w:rsidRDefault="00000000">
      <w:pPr>
        <w:spacing w:after="66" w:line="247" w:lineRule="auto"/>
        <w:ind w:left="1291" w:right="705"/>
      </w:pPr>
      <w:r>
        <w:rPr>
          <w:noProof/>
        </w:rPr>
        <w:drawing>
          <wp:anchor distT="0" distB="0" distL="114300" distR="114300" simplePos="0" relativeHeight="251663360" behindDoc="0" locked="0" layoutInCell="1" allowOverlap="0" wp14:anchorId="26858916" wp14:editId="6BE8E55C">
            <wp:simplePos x="0" y="0"/>
            <wp:positionH relativeFrom="column">
              <wp:posOffset>165165</wp:posOffset>
            </wp:positionH>
            <wp:positionV relativeFrom="paragraph">
              <wp:posOffset>-31047</wp:posOffset>
            </wp:positionV>
            <wp:extent cx="530352" cy="708372"/>
            <wp:effectExtent l="0" t="0" r="0" b="0"/>
            <wp:wrapSquare wrapText="bothSides"/>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71"/>
                    <a:stretch>
                      <a:fillRect/>
                    </a:stretch>
                  </pic:blipFill>
                  <pic:spPr>
                    <a:xfrm>
                      <a:off x="0" y="0"/>
                      <a:ext cx="530352" cy="708372"/>
                    </a:xfrm>
                    <a:prstGeom prst="rect">
                      <a:avLst/>
                    </a:prstGeom>
                  </pic:spPr>
                </pic:pic>
              </a:graphicData>
            </a:graphic>
          </wp:anchor>
        </w:drawing>
      </w:r>
      <w:r>
        <w:rPr>
          <w:sz w:val="19"/>
        </w:rPr>
        <w:t>Language models are generally better with text than with numbers. It’s been reported that AI judges work better with classification than with numerical scoring systems.</w:t>
      </w:r>
    </w:p>
    <w:p w14:paraId="1EC13AC9" w14:textId="77777777" w:rsidR="006C08A6" w:rsidRDefault="00000000">
      <w:pPr>
        <w:spacing w:after="316" w:line="247" w:lineRule="auto"/>
        <w:ind w:left="1291" w:right="705"/>
      </w:pPr>
      <w:r>
        <w:rPr>
          <w:sz w:val="19"/>
        </w:rPr>
        <w:t>For numerical scoring systems, discrete scoring seems to work better than continuous scoring. Empirically, the wider the range for discrete scoring, the worse the model seems to get. Typical discrete scoring systems are between 1 and 5.</w:t>
      </w:r>
    </w:p>
    <w:p w14:paraId="75F8E850" w14:textId="77777777" w:rsidR="006C08A6" w:rsidRDefault="00000000">
      <w:pPr>
        <w:ind w:left="-5"/>
      </w:pPr>
      <w:r>
        <w:t xml:space="preserve">Prompts with examples have been shown to perform better. If you use a scoring system between 1 and 5, include examples of what a response with a score of 1, 2, 3, 4, or 5 looks like, and if possible, why a response receives a certain score. Best practices for prompting are discussed in </w:t>
      </w:r>
      <w:r>
        <w:rPr>
          <w:color w:val="990000"/>
        </w:rPr>
        <w:t>Chapter 5</w:t>
      </w:r>
      <w:r>
        <w:t>.</w:t>
      </w:r>
    </w:p>
    <w:p w14:paraId="68F54736" w14:textId="77777777" w:rsidR="006C08A6" w:rsidRDefault="00000000">
      <w:pPr>
        <w:ind w:left="-5"/>
      </w:pPr>
      <w:r>
        <w:t xml:space="preserve">Here’s part of the prompt used for the criteria </w:t>
      </w:r>
      <w:r>
        <w:rPr>
          <w:i/>
          <w:color w:val="990000"/>
        </w:rPr>
        <w:t>relevance</w:t>
      </w:r>
      <w:r>
        <w:t xml:space="preserve"> by Azure AI Studio. It explains the task, the criteria, the scoring system, an example of an input with a low score, and a justification for why this input has a low score. Part of the prompt was removed for brevity.</w:t>
      </w:r>
    </w:p>
    <w:p w14:paraId="24B9D017" w14:textId="77777777" w:rsidR="006C08A6" w:rsidRDefault="00000000">
      <w:pPr>
        <w:spacing w:after="68" w:line="269" w:lineRule="auto"/>
        <w:ind w:left="355" w:right="345"/>
      </w:pPr>
      <w:r>
        <w:rPr>
          <w:rFonts w:ascii="Courier New" w:eastAsia="Courier New" w:hAnsi="Courier New" w:cs="Courier New"/>
          <w:sz w:val="18"/>
        </w:rPr>
        <w:t>Your task is to score the relevance between a generated answer and the question based on the ground truth answer in the range between 1 and 5, and please also provide the scoring reason.</w:t>
      </w:r>
    </w:p>
    <w:p w14:paraId="0770C44C" w14:textId="77777777" w:rsidR="006C08A6" w:rsidRDefault="00000000">
      <w:pPr>
        <w:spacing w:after="68" w:line="269" w:lineRule="auto"/>
        <w:ind w:left="355" w:right="345"/>
      </w:pPr>
      <w:r>
        <w:rPr>
          <w:rFonts w:ascii="Courier New" w:eastAsia="Courier New" w:hAnsi="Courier New" w:cs="Courier New"/>
          <w:sz w:val="18"/>
        </w:rPr>
        <w:t>Your primary focus should be on determining whether the generated answer contains sufficient information to address the given question according to the ground truth answer. …</w:t>
      </w:r>
    </w:p>
    <w:p w14:paraId="0C274518" w14:textId="77777777" w:rsidR="006C08A6" w:rsidRDefault="00000000">
      <w:pPr>
        <w:spacing w:after="68" w:line="269" w:lineRule="auto"/>
        <w:ind w:left="355" w:right="345"/>
      </w:pPr>
      <w:r>
        <w:rPr>
          <w:rFonts w:ascii="Courier New" w:eastAsia="Courier New" w:hAnsi="Courier New" w:cs="Courier New"/>
          <w:sz w:val="18"/>
        </w:rPr>
        <w:t>If the generated answer contradicts the ground truth answer, it will receive a low score of 1-2.</w:t>
      </w:r>
    </w:p>
    <w:p w14:paraId="59926702" w14:textId="77777777" w:rsidR="006C08A6" w:rsidRDefault="00000000">
      <w:pPr>
        <w:spacing w:after="68" w:line="269" w:lineRule="auto"/>
        <w:ind w:left="355" w:right="345"/>
      </w:pPr>
      <w:r>
        <w:rPr>
          <w:rFonts w:ascii="Courier New" w:eastAsia="Courier New" w:hAnsi="Courier New" w:cs="Courier New"/>
          <w:sz w:val="18"/>
        </w:rPr>
        <w:t>For example, for the question "Is the sky blue?" the ground truth answer is "Yes, the sky is blue." and the generated answer is "No, the sky is not blue."</w:t>
      </w:r>
    </w:p>
    <w:p w14:paraId="6086A7E4" w14:textId="77777777" w:rsidR="006C08A6" w:rsidRDefault="00000000">
      <w:pPr>
        <w:spacing w:after="68" w:line="269" w:lineRule="auto"/>
        <w:ind w:left="355" w:right="345"/>
      </w:pPr>
      <w:r>
        <w:rPr>
          <w:rFonts w:ascii="Courier New" w:eastAsia="Courier New" w:hAnsi="Courier New" w:cs="Courier New"/>
          <w:sz w:val="18"/>
        </w:rPr>
        <w:lastRenderedPageBreak/>
        <w:t>In this example, the generated answer contradicts the ground truth answer by stating that the sky is not blue, when in fact it is blue.</w:t>
      </w:r>
    </w:p>
    <w:p w14:paraId="28E3D2CF" w14:textId="77777777" w:rsidR="006C08A6" w:rsidRDefault="00000000">
      <w:pPr>
        <w:spacing w:after="167" w:line="269" w:lineRule="auto"/>
        <w:ind w:left="355" w:right="345"/>
      </w:pPr>
      <w:r>
        <w:rPr>
          <w:rFonts w:ascii="Courier New" w:eastAsia="Courier New" w:hAnsi="Courier New" w:cs="Courier New"/>
          <w:sz w:val="18"/>
        </w:rPr>
        <w:t>This inconsistency would result in a low score of 1–2, and the reason for the low score would reflect the contradiction between the generated answer and the ground truth answer.</w:t>
      </w:r>
    </w:p>
    <w:p w14:paraId="471B2824" w14:textId="77777777" w:rsidR="006C08A6" w:rsidRDefault="00000000">
      <w:pPr>
        <w:spacing w:after="0"/>
        <w:ind w:left="-5"/>
      </w:pPr>
      <w:r>
        <w:rPr>
          <w:color w:val="990000"/>
        </w:rPr>
        <w:t>Figure 3-8</w:t>
      </w:r>
      <w:r>
        <w:t xml:space="preserve"> shows an example of an AI judge that evaluates the quality of an answer when given the question.</w:t>
      </w:r>
    </w:p>
    <w:p w14:paraId="77DFB7DA" w14:textId="77777777" w:rsidR="006C08A6" w:rsidRDefault="00000000">
      <w:pPr>
        <w:spacing w:after="36" w:line="259" w:lineRule="auto"/>
        <w:ind w:left="1" w:right="-9" w:firstLine="0"/>
        <w:jc w:val="left"/>
      </w:pPr>
      <w:r>
        <w:rPr>
          <w:rFonts w:ascii="Calibri" w:eastAsia="Calibri" w:hAnsi="Calibri" w:cs="Calibri"/>
          <w:noProof/>
          <w:sz w:val="22"/>
        </w:rPr>
        <mc:AlternateContent>
          <mc:Choice Requires="wpg">
            <w:drawing>
              <wp:inline distT="0" distB="0" distL="0" distR="0" wp14:anchorId="60B3E87D" wp14:editId="70EAFD2A">
                <wp:extent cx="4576905" cy="1787099"/>
                <wp:effectExtent l="0" t="0" r="0" b="0"/>
                <wp:docPr id="33836" name="Group 33836"/>
                <wp:cNvGraphicFramePr/>
                <a:graphic xmlns:a="http://schemas.openxmlformats.org/drawingml/2006/main">
                  <a:graphicData uri="http://schemas.microsoft.com/office/word/2010/wordprocessingGroup">
                    <wpg:wgp>
                      <wpg:cNvGrpSpPr/>
                      <wpg:grpSpPr>
                        <a:xfrm>
                          <a:off x="0" y="0"/>
                          <a:ext cx="4576905" cy="1787099"/>
                          <a:chOff x="0" y="0"/>
                          <a:chExt cx="4576905" cy="1787099"/>
                        </a:xfrm>
                      </wpg:grpSpPr>
                      <wps:wsp>
                        <wps:cNvPr id="2263" name="Shape 2263"/>
                        <wps:cNvSpPr/>
                        <wps:spPr>
                          <a:xfrm>
                            <a:off x="0" y="865"/>
                            <a:ext cx="4576905" cy="0"/>
                          </a:xfrm>
                          <a:custGeom>
                            <a:avLst/>
                            <a:gdLst/>
                            <a:ahLst/>
                            <a:cxnLst/>
                            <a:rect l="0" t="0" r="0" b="0"/>
                            <a:pathLst>
                              <a:path w="4576905">
                                <a:moveTo>
                                  <a:pt x="4576905" y="0"/>
                                </a:moveTo>
                                <a:lnTo>
                                  <a:pt x="71"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265" name="Shape 2265"/>
                        <wps:cNvSpPr/>
                        <wps:spPr>
                          <a:xfrm>
                            <a:off x="4576040" y="0"/>
                            <a:ext cx="0" cy="1787099"/>
                          </a:xfrm>
                          <a:custGeom>
                            <a:avLst/>
                            <a:gdLst/>
                            <a:ahLst/>
                            <a:cxnLst/>
                            <a:rect l="0" t="0" r="0" b="0"/>
                            <a:pathLst>
                              <a:path h="1787099">
                                <a:moveTo>
                                  <a:pt x="0" y="1787099"/>
                                </a:moveTo>
                                <a:lnTo>
                                  <a:pt x="0" y="71"/>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267" name="Shape 2267"/>
                        <wps:cNvSpPr/>
                        <wps:spPr>
                          <a:xfrm>
                            <a:off x="0" y="1786234"/>
                            <a:ext cx="4576905" cy="0"/>
                          </a:xfrm>
                          <a:custGeom>
                            <a:avLst/>
                            <a:gdLst/>
                            <a:ahLst/>
                            <a:cxnLst/>
                            <a:rect l="0" t="0" r="0" b="0"/>
                            <a:pathLst>
                              <a:path w="4576905">
                                <a:moveTo>
                                  <a:pt x="4576905" y="0"/>
                                </a:moveTo>
                                <a:lnTo>
                                  <a:pt x="4576834"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269" name="Shape 2269"/>
                        <wps:cNvSpPr/>
                        <wps:spPr>
                          <a:xfrm>
                            <a:off x="865" y="0"/>
                            <a:ext cx="0" cy="1787099"/>
                          </a:xfrm>
                          <a:custGeom>
                            <a:avLst/>
                            <a:gdLst/>
                            <a:ahLst/>
                            <a:cxnLst/>
                            <a:rect l="0" t="0" r="0" b="0"/>
                            <a:pathLst>
                              <a:path h="1787099">
                                <a:moveTo>
                                  <a:pt x="0" y="1787099"/>
                                </a:moveTo>
                                <a:lnTo>
                                  <a:pt x="0" y="1787028"/>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84" name="Picture 2284"/>
                          <pic:cNvPicPr/>
                        </pic:nvPicPr>
                        <pic:blipFill>
                          <a:blip r:embed="rId72"/>
                          <a:stretch>
                            <a:fillRect/>
                          </a:stretch>
                        </pic:blipFill>
                        <pic:spPr>
                          <a:xfrm>
                            <a:off x="226476" y="65952"/>
                            <a:ext cx="4123953" cy="1645923"/>
                          </a:xfrm>
                          <a:prstGeom prst="rect">
                            <a:avLst/>
                          </a:prstGeom>
                        </pic:spPr>
                      </pic:pic>
                    </wpg:wgp>
                  </a:graphicData>
                </a:graphic>
              </wp:inline>
            </w:drawing>
          </mc:Choice>
          <mc:Fallback xmlns:a="http://schemas.openxmlformats.org/drawingml/2006/main">
            <w:pict>
              <v:group id="Group 33836" style="width:360.386pt;height:140.716pt;mso-position-horizontal-relative:char;mso-position-vertical-relative:line" coordsize="45769,17870">
                <v:shape id="Shape 2263" style="position:absolute;width:45769;height:0;left:0;top:8;" coordsize="4576905,0" path="m4576905,0l71,0l0,0">
                  <v:stroke weight="0.25pt" endcap="round" joinstyle="miter" miterlimit="10" on="true" color="#000000"/>
                  <v:fill on="false" color="#000000" opacity="0"/>
                </v:shape>
                <v:shape id="Shape 2265" style="position:absolute;width:0;height:17870;left:45760;top:0;" coordsize="0,1787099" path="m0,1787099l0,71l0,0">
                  <v:stroke weight="0.25pt" endcap="round" joinstyle="miter" miterlimit="10" on="true" color="#000000"/>
                  <v:fill on="false" color="#000000" opacity="0"/>
                </v:shape>
                <v:shape id="Shape 2267" style="position:absolute;width:45769;height:0;left:0;top:17862;" coordsize="4576905,0" path="m4576905,0l4576834,0l0,0">
                  <v:stroke weight="0.25pt" endcap="round" joinstyle="miter" miterlimit="10" on="true" color="#000000"/>
                  <v:fill on="false" color="#000000" opacity="0"/>
                </v:shape>
                <v:shape id="Shape 2269" style="position:absolute;width:0;height:17870;left:8;top:0;" coordsize="0,1787099" path="m0,1787099l0,1787028l0,0">
                  <v:stroke weight="0.25pt" endcap="round" joinstyle="miter" miterlimit="10" on="true" color="#000000"/>
                  <v:fill on="false" color="#000000" opacity="0"/>
                </v:shape>
                <v:shape id="Picture 2284" style="position:absolute;width:41239;height:16459;left:2264;top:659;" filled="f">
                  <v:imagedata r:id="rId73"/>
                </v:shape>
              </v:group>
            </w:pict>
          </mc:Fallback>
        </mc:AlternateContent>
      </w:r>
    </w:p>
    <w:p w14:paraId="5C9D3109" w14:textId="77777777" w:rsidR="006C08A6" w:rsidRDefault="00000000">
      <w:pPr>
        <w:spacing w:after="235" w:line="254" w:lineRule="auto"/>
        <w:ind w:left="-5"/>
        <w:jc w:val="left"/>
      </w:pPr>
      <w:r>
        <w:rPr>
          <w:i/>
        </w:rPr>
        <w:t>Figure 3-8. An example of an AI judge that evaluates the quality of an answer given a question.</w:t>
      </w:r>
    </w:p>
    <w:p w14:paraId="156F1671" w14:textId="77777777" w:rsidR="006C08A6" w:rsidRDefault="00000000">
      <w:pPr>
        <w:spacing w:after="289"/>
        <w:ind w:left="-5"/>
      </w:pPr>
      <w:r>
        <w:t>An AI judge is not just a model—it’s a system that includes both a model and a prompt. Altering the model, the prompt, or the model’s sampling parameters results in a different judge.</w:t>
      </w:r>
    </w:p>
    <w:p w14:paraId="61BC9D4E" w14:textId="77777777" w:rsidR="006C08A6" w:rsidRDefault="00000000">
      <w:pPr>
        <w:pStyle w:val="Heading2"/>
        <w:ind w:left="-5"/>
      </w:pPr>
      <w:r>
        <w:t>Limitations of AI as a Judge</w:t>
      </w:r>
    </w:p>
    <w:p w14:paraId="1BEB9247" w14:textId="77777777" w:rsidR="006C08A6" w:rsidRDefault="00000000">
      <w:pPr>
        <w:ind w:left="-5"/>
      </w:pPr>
      <w:r>
        <w:t>Despite the many advantages of AI as a judge, many teams are hesitant to adopt this approach. Using AI to evaluate AI seems tautological. The probabilistic nature of AI makes it seem too unreliable to act as an evaluator. AI judges can potentially introduce nontrivial costs and latency to an application. Given these limitations, some teams see AI as a judge as a fallback option when they don’t have any other way of evaluating their systems, especially in production.</w:t>
      </w:r>
    </w:p>
    <w:p w14:paraId="37577892" w14:textId="77777777" w:rsidR="006C08A6" w:rsidRDefault="00000000">
      <w:pPr>
        <w:pStyle w:val="Heading3"/>
        <w:ind w:left="-5"/>
      </w:pPr>
      <w:r>
        <w:t>Inconsistency</w:t>
      </w:r>
    </w:p>
    <w:p w14:paraId="31B95D85" w14:textId="77777777" w:rsidR="006C08A6" w:rsidRDefault="00000000">
      <w:pPr>
        <w:ind w:left="-5"/>
      </w:pPr>
      <w:r>
        <w:t>For an evaluation method to be trustworthy, its results should be consistent. Yet AI judges, like all AI applications, are probabilistic. The same judge, on the same input, can output different scores if prompted differently. Even the same judge, prompted with the same instruction, can output different scores if run twice. This inconsistency makes it hard to reproduce or trust evaluation results.</w:t>
      </w:r>
    </w:p>
    <w:p w14:paraId="2F45810C" w14:textId="77777777" w:rsidR="006C08A6" w:rsidRDefault="00000000">
      <w:pPr>
        <w:spacing w:after="250"/>
        <w:ind w:left="-5"/>
      </w:pPr>
      <w:r>
        <w:lastRenderedPageBreak/>
        <w:t xml:space="preserve">It’s possible to get an AI judge to be more consistent. </w:t>
      </w:r>
      <w:r>
        <w:rPr>
          <w:color w:val="990000"/>
        </w:rPr>
        <w:t>Chapter 2</w:t>
      </w:r>
      <w:r>
        <w:t xml:space="preserve"> discusses how to do so with sampling variables. </w:t>
      </w:r>
      <w:r>
        <w:rPr>
          <w:color w:val="990000"/>
        </w:rPr>
        <w:t>Zheng et al. (2023)</w:t>
      </w:r>
      <w:r>
        <w:t xml:space="preserve"> showed that including evaluation examples in the prompt can increase the consistency of GPT-4 from 65% to 77.5%. However, they acknowledged that high consistency may not imply high accuracy— the judge might consistently make the same mistakes. On top of that, including more examples makes prompts longer, and longer prompts mean higher inference costs. In Zheng et al.’s experiment, including more examples in their prompts caused their GPT-4 spending to quadruple.</w:t>
      </w:r>
    </w:p>
    <w:p w14:paraId="18747903" w14:textId="77777777" w:rsidR="006C08A6" w:rsidRDefault="00000000">
      <w:pPr>
        <w:pStyle w:val="Heading3"/>
        <w:ind w:left="-5"/>
      </w:pPr>
      <w:r>
        <w:t>Criteria ambiguity</w:t>
      </w:r>
    </w:p>
    <w:p w14:paraId="47531ECA" w14:textId="77777777" w:rsidR="006C08A6" w:rsidRDefault="00000000">
      <w:pPr>
        <w:spacing w:after="239"/>
        <w:ind w:left="-5"/>
      </w:pPr>
      <w:r>
        <w:t xml:space="preserve">Unlike many human-designed metrics, AI as a judge metrics aren’t standardized, making it easy to misinterpret and misuse them. As of this writing, the open source tools MLflow, Ragas, and LlamaIndex all have the built-in criterion </w:t>
      </w:r>
      <w:r>
        <w:rPr>
          <w:i/>
        </w:rPr>
        <w:t>faithfulness</w:t>
      </w:r>
      <w:r>
        <w:t xml:space="preserve"> to measure how faithful a generated output is to the given context, but their instructions and scoring systems are all different. As shown in </w:t>
      </w:r>
      <w:r>
        <w:rPr>
          <w:color w:val="990000"/>
        </w:rPr>
        <w:t>Table 3-4</w:t>
      </w:r>
      <w:r>
        <w:t>, MLflow uses a scoring system from 1 to 5, Ragas uses 0 and 1, whereas LlamaIndex’s prompt asks the judge to output YES and NO.</w:t>
      </w:r>
    </w:p>
    <w:p w14:paraId="5AD0F5C9" w14:textId="77777777" w:rsidR="006C08A6" w:rsidRDefault="00000000">
      <w:pPr>
        <w:spacing w:after="3" w:line="259" w:lineRule="auto"/>
        <w:ind w:left="-5"/>
        <w:jc w:val="left"/>
      </w:pPr>
      <w:r>
        <w:rPr>
          <w:i/>
          <w:sz w:val="20"/>
        </w:rPr>
        <w:t>Table 3-4. Different tools can have very difficult default prompts for the same criteria.</w:t>
      </w:r>
    </w:p>
    <w:tbl>
      <w:tblPr>
        <w:tblStyle w:val="TableGrid"/>
        <w:tblW w:w="7200" w:type="dxa"/>
        <w:tblInd w:w="0" w:type="dxa"/>
        <w:tblCellMar>
          <w:top w:w="7" w:type="dxa"/>
          <w:left w:w="72" w:type="dxa"/>
          <w:bottom w:w="0" w:type="dxa"/>
          <w:right w:w="75" w:type="dxa"/>
        </w:tblCellMar>
        <w:tblLook w:val="04A0" w:firstRow="1" w:lastRow="0" w:firstColumn="1" w:lastColumn="0" w:noHBand="0" w:noVBand="1"/>
      </w:tblPr>
      <w:tblGrid>
        <w:gridCol w:w="983"/>
        <w:gridCol w:w="5523"/>
        <w:gridCol w:w="694"/>
      </w:tblGrid>
      <w:tr w:rsidR="006C08A6" w14:paraId="3427D00C" w14:textId="77777777">
        <w:trPr>
          <w:trHeight w:val="495"/>
        </w:trPr>
        <w:tc>
          <w:tcPr>
            <w:tcW w:w="795" w:type="dxa"/>
            <w:tcBorders>
              <w:top w:val="nil"/>
              <w:left w:val="nil"/>
              <w:bottom w:val="single" w:sz="2" w:space="0" w:color="181717"/>
              <w:right w:val="nil"/>
            </w:tcBorders>
            <w:shd w:val="clear" w:color="auto" w:fill="000000"/>
          </w:tcPr>
          <w:p w14:paraId="1D720806" w14:textId="77777777" w:rsidR="006C08A6" w:rsidRDefault="00000000">
            <w:pPr>
              <w:spacing w:after="0" w:line="259" w:lineRule="auto"/>
              <w:ind w:left="0" w:firstLine="0"/>
              <w:jc w:val="left"/>
            </w:pPr>
            <w:r>
              <w:rPr>
                <w:rFonts w:ascii="Calibri" w:eastAsia="Calibri" w:hAnsi="Calibri" w:cs="Calibri"/>
                <w:b/>
                <w:color w:val="FFFFFF"/>
                <w:sz w:val="18"/>
              </w:rPr>
              <w:t>Tool</w:t>
            </w:r>
          </w:p>
        </w:tc>
        <w:tc>
          <w:tcPr>
            <w:tcW w:w="5741" w:type="dxa"/>
            <w:tcBorders>
              <w:top w:val="nil"/>
              <w:left w:val="nil"/>
              <w:bottom w:val="single" w:sz="2" w:space="0" w:color="181717"/>
              <w:right w:val="nil"/>
            </w:tcBorders>
            <w:shd w:val="clear" w:color="auto" w:fill="000000"/>
          </w:tcPr>
          <w:p w14:paraId="3AAA8627" w14:textId="77777777" w:rsidR="006C08A6" w:rsidRDefault="00000000">
            <w:pPr>
              <w:spacing w:after="0" w:line="259" w:lineRule="auto"/>
              <w:ind w:left="0" w:firstLine="0"/>
              <w:jc w:val="left"/>
            </w:pPr>
            <w:r>
              <w:rPr>
                <w:rFonts w:ascii="Calibri" w:eastAsia="Calibri" w:hAnsi="Calibri" w:cs="Calibri"/>
                <w:b/>
                <w:color w:val="FFFFFF"/>
                <w:sz w:val="18"/>
              </w:rPr>
              <w:t>Prompt</w:t>
            </w:r>
          </w:p>
          <w:p w14:paraId="3AE953F2" w14:textId="77777777" w:rsidR="006C08A6" w:rsidRDefault="00000000">
            <w:pPr>
              <w:spacing w:after="0" w:line="259" w:lineRule="auto"/>
              <w:ind w:left="0" w:firstLine="0"/>
              <w:jc w:val="left"/>
            </w:pPr>
            <w:r>
              <w:rPr>
                <w:rFonts w:ascii="Calibri" w:eastAsia="Calibri" w:hAnsi="Calibri" w:cs="Calibri"/>
                <w:b/>
                <w:color w:val="FFFFFF"/>
                <w:sz w:val="18"/>
              </w:rPr>
              <w:t>[partially omitted for brevity]</w:t>
            </w:r>
          </w:p>
        </w:tc>
        <w:tc>
          <w:tcPr>
            <w:tcW w:w="664" w:type="dxa"/>
            <w:tcBorders>
              <w:top w:val="nil"/>
              <w:left w:val="nil"/>
              <w:bottom w:val="single" w:sz="2" w:space="0" w:color="181717"/>
              <w:right w:val="nil"/>
            </w:tcBorders>
            <w:shd w:val="clear" w:color="auto" w:fill="000000"/>
          </w:tcPr>
          <w:p w14:paraId="24463339" w14:textId="77777777" w:rsidR="006C08A6" w:rsidRDefault="00000000">
            <w:pPr>
              <w:spacing w:after="0" w:line="259" w:lineRule="auto"/>
              <w:ind w:left="0" w:firstLine="0"/>
              <w:jc w:val="left"/>
            </w:pPr>
            <w:r>
              <w:rPr>
                <w:rFonts w:ascii="Calibri" w:eastAsia="Calibri" w:hAnsi="Calibri" w:cs="Calibri"/>
                <w:b/>
                <w:color w:val="FFFFFF"/>
                <w:sz w:val="18"/>
              </w:rPr>
              <w:t>Scoring system</w:t>
            </w:r>
          </w:p>
        </w:tc>
      </w:tr>
      <w:tr w:rsidR="006C08A6" w14:paraId="36AFF0A3" w14:textId="77777777">
        <w:trPr>
          <w:trHeight w:val="2282"/>
        </w:trPr>
        <w:tc>
          <w:tcPr>
            <w:tcW w:w="795" w:type="dxa"/>
            <w:tcBorders>
              <w:top w:val="single" w:sz="2" w:space="0" w:color="181717"/>
              <w:left w:val="single" w:sz="2" w:space="0" w:color="181717"/>
              <w:bottom w:val="single" w:sz="2" w:space="0" w:color="181717"/>
              <w:right w:val="single" w:sz="2" w:space="0" w:color="181717"/>
            </w:tcBorders>
          </w:tcPr>
          <w:p w14:paraId="76653AFE" w14:textId="77777777" w:rsidR="006C08A6" w:rsidRDefault="00000000">
            <w:pPr>
              <w:spacing w:after="0" w:line="259" w:lineRule="auto"/>
              <w:ind w:left="3" w:firstLine="0"/>
              <w:jc w:val="left"/>
            </w:pPr>
            <w:r>
              <w:rPr>
                <w:rFonts w:ascii="Calibri" w:eastAsia="Calibri" w:hAnsi="Calibri" w:cs="Calibri"/>
                <w:color w:val="990000"/>
                <w:sz w:val="18"/>
              </w:rPr>
              <w:t>MLflow</w:t>
            </w:r>
          </w:p>
        </w:tc>
        <w:tc>
          <w:tcPr>
            <w:tcW w:w="5741" w:type="dxa"/>
            <w:tcBorders>
              <w:top w:val="single" w:sz="2" w:space="0" w:color="181717"/>
              <w:left w:val="single" w:sz="2" w:space="0" w:color="181717"/>
              <w:bottom w:val="single" w:sz="2" w:space="0" w:color="181717"/>
              <w:right w:val="single" w:sz="2" w:space="0" w:color="181717"/>
            </w:tcBorders>
          </w:tcPr>
          <w:p w14:paraId="24950BED" w14:textId="77777777" w:rsidR="006C08A6" w:rsidRDefault="00000000">
            <w:pPr>
              <w:spacing w:after="227" w:line="282" w:lineRule="auto"/>
              <w:ind w:left="2" w:firstLine="0"/>
              <w:jc w:val="left"/>
            </w:pPr>
            <w:r>
              <w:rPr>
                <w:rFonts w:ascii="Courier New" w:eastAsia="Courier New" w:hAnsi="Courier New" w:cs="Courier New"/>
                <w:sz w:val="17"/>
              </w:rPr>
              <w:t>Faithfulness is only evaluated with the provided output and pro vided context, please ignore the provided input entirely when scoring faithfulness.</w:t>
            </w:r>
            <w:r>
              <w:rPr>
                <w:rFonts w:ascii="Calibri" w:eastAsia="Calibri" w:hAnsi="Calibri" w:cs="Calibri"/>
                <w:sz w:val="18"/>
              </w:rPr>
              <w:t xml:space="preserve"> </w:t>
            </w:r>
            <w:r>
              <w:rPr>
                <w:rFonts w:ascii="Courier New" w:eastAsia="Courier New" w:hAnsi="Courier New" w:cs="Courier New"/>
                <w:sz w:val="17"/>
              </w:rPr>
              <w:t>Faithfulness</w:t>
            </w:r>
            <w:r>
              <w:rPr>
                <w:rFonts w:ascii="Calibri" w:eastAsia="Calibri" w:hAnsi="Calibri" w:cs="Calibri"/>
                <w:sz w:val="18"/>
              </w:rPr>
              <w:t xml:space="preserve"> </w:t>
            </w:r>
            <w:r>
              <w:rPr>
                <w:rFonts w:ascii="Courier New" w:eastAsia="Courier New" w:hAnsi="Courier New" w:cs="Courier New"/>
                <w:sz w:val="17"/>
              </w:rPr>
              <w:t>assesses how much of the provided</w:t>
            </w:r>
            <w:r>
              <w:rPr>
                <w:rFonts w:ascii="Calibri" w:eastAsia="Calibri" w:hAnsi="Calibri" w:cs="Calibri"/>
                <w:sz w:val="18"/>
              </w:rPr>
              <w:t xml:space="preserve"> </w:t>
            </w:r>
            <w:r>
              <w:rPr>
                <w:rFonts w:ascii="Courier New" w:eastAsia="Courier New" w:hAnsi="Courier New" w:cs="Courier New"/>
                <w:sz w:val="17"/>
              </w:rPr>
              <w:t>output is factually consistent with the provided con text.…</w:t>
            </w:r>
          </w:p>
          <w:p w14:paraId="04F73B13" w14:textId="77777777" w:rsidR="006C08A6" w:rsidRDefault="00000000">
            <w:pPr>
              <w:spacing w:after="21" w:line="259" w:lineRule="auto"/>
              <w:ind w:left="3" w:firstLine="0"/>
              <w:jc w:val="left"/>
            </w:pPr>
            <w:r>
              <w:rPr>
                <w:rFonts w:ascii="Courier New" w:eastAsia="Courier New" w:hAnsi="Courier New" w:cs="Courier New"/>
                <w:sz w:val="17"/>
              </w:rPr>
              <w:t>Faithfulness: Below are the details for different scores:</w:t>
            </w:r>
          </w:p>
          <w:p w14:paraId="1BA1EF51" w14:textId="77777777" w:rsidR="006C08A6" w:rsidRDefault="00000000">
            <w:pPr>
              <w:spacing w:after="0" w:line="259" w:lineRule="auto"/>
              <w:ind w:left="2" w:right="464" w:firstLine="0"/>
              <w:jc w:val="left"/>
            </w:pPr>
            <w:r>
              <w:rPr>
                <w:rFonts w:ascii="Courier New" w:eastAsia="Courier New" w:hAnsi="Courier New" w:cs="Courier New"/>
                <w:sz w:val="17"/>
              </w:rPr>
              <w:t>- Score 1: None of the claims in the output can be inferred from the provided</w:t>
            </w:r>
            <w:r>
              <w:rPr>
                <w:rFonts w:ascii="Calibri" w:eastAsia="Calibri" w:hAnsi="Calibri" w:cs="Calibri"/>
                <w:sz w:val="18"/>
              </w:rPr>
              <w:t xml:space="preserve"> </w:t>
            </w:r>
            <w:r>
              <w:rPr>
                <w:rFonts w:ascii="Courier New" w:eastAsia="Courier New" w:hAnsi="Courier New" w:cs="Courier New"/>
                <w:sz w:val="17"/>
              </w:rPr>
              <w:t>context. - Score 2: …</w:t>
            </w:r>
          </w:p>
        </w:tc>
        <w:tc>
          <w:tcPr>
            <w:tcW w:w="664" w:type="dxa"/>
            <w:tcBorders>
              <w:top w:val="single" w:sz="2" w:space="0" w:color="181717"/>
              <w:left w:val="single" w:sz="2" w:space="0" w:color="181717"/>
              <w:bottom w:val="single" w:sz="2" w:space="0" w:color="181717"/>
              <w:right w:val="single" w:sz="2" w:space="0" w:color="181717"/>
            </w:tcBorders>
          </w:tcPr>
          <w:p w14:paraId="2E66BEBC" w14:textId="77777777" w:rsidR="006C08A6" w:rsidRDefault="00000000">
            <w:pPr>
              <w:spacing w:after="0" w:line="259" w:lineRule="auto"/>
              <w:ind w:left="3" w:firstLine="0"/>
              <w:jc w:val="left"/>
            </w:pPr>
            <w:r>
              <w:rPr>
                <w:rFonts w:ascii="Calibri" w:eastAsia="Calibri" w:hAnsi="Calibri" w:cs="Calibri"/>
                <w:sz w:val="18"/>
              </w:rPr>
              <w:t>1–5</w:t>
            </w:r>
          </w:p>
        </w:tc>
      </w:tr>
      <w:tr w:rsidR="006C08A6" w14:paraId="783B8BD9" w14:textId="77777777">
        <w:trPr>
          <w:trHeight w:val="1151"/>
        </w:trPr>
        <w:tc>
          <w:tcPr>
            <w:tcW w:w="795" w:type="dxa"/>
            <w:tcBorders>
              <w:top w:val="single" w:sz="2" w:space="0" w:color="181717"/>
              <w:left w:val="single" w:sz="2" w:space="0" w:color="181717"/>
              <w:bottom w:val="single" w:sz="2" w:space="0" w:color="181717"/>
              <w:right w:val="single" w:sz="2" w:space="0" w:color="181717"/>
            </w:tcBorders>
          </w:tcPr>
          <w:p w14:paraId="16AF7BDA" w14:textId="77777777" w:rsidR="006C08A6" w:rsidRDefault="00000000">
            <w:pPr>
              <w:spacing w:after="0" w:line="259" w:lineRule="auto"/>
              <w:ind w:left="3" w:firstLine="0"/>
              <w:jc w:val="left"/>
            </w:pPr>
            <w:r>
              <w:rPr>
                <w:rFonts w:ascii="Calibri" w:eastAsia="Calibri" w:hAnsi="Calibri" w:cs="Calibri"/>
                <w:color w:val="990000"/>
                <w:sz w:val="18"/>
              </w:rPr>
              <w:t>Ragas</w:t>
            </w:r>
          </w:p>
        </w:tc>
        <w:tc>
          <w:tcPr>
            <w:tcW w:w="5741" w:type="dxa"/>
            <w:tcBorders>
              <w:top w:val="single" w:sz="2" w:space="0" w:color="181717"/>
              <w:left w:val="single" w:sz="2" w:space="0" w:color="181717"/>
              <w:bottom w:val="single" w:sz="2" w:space="0" w:color="181717"/>
              <w:right w:val="single" w:sz="2" w:space="0" w:color="181717"/>
            </w:tcBorders>
          </w:tcPr>
          <w:p w14:paraId="652F1D7B" w14:textId="77777777" w:rsidR="006C08A6" w:rsidRDefault="00000000">
            <w:pPr>
              <w:spacing w:after="0" w:line="259" w:lineRule="auto"/>
              <w:ind w:left="2" w:right="45" w:firstLine="0"/>
              <w:jc w:val="left"/>
            </w:pPr>
            <w:r>
              <w:rPr>
                <w:rFonts w:ascii="Courier New" w:eastAsia="Courier New" w:hAnsi="Courier New" w:cs="Courier New"/>
                <w:sz w:val="17"/>
              </w:rPr>
              <w:t>Your task is to judge the faithfulness of a series of state ments based on a given context. For each statement you must return verdict as 1 if the statement</w:t>
            </w:r>
            <w:r>
              <w:rPr>
                <w:rFonts w:ascii="Calibri" w:eastAsia="Calibri" w:hAnsi="Calibri" w:cs="Calibri"/>
                <w:sz w:val="18"/>
              </w:rPr>
              <w:t xml:space="preserve"> </w:t>
            </w:r>
            <w:r>
              <w:rPr>
                <w:rFonts w:ascii="Courier New" w:eastAsia="Courier New" w:hAnsi="Courier New" w:cs="Courier New"/>
                <w:sz w:val="17"/>
              </w:rPr>
              <w:t>can be verified based on the context or 0 if the statement can not be verified based on the context.</w:t>
            </w:r>
          </w:p>
        </w:tc>
        <w:tc>
          <w:tcPr>
            <w:tcW w:w="664" w:type="dxa"/>
            <w:tcBorders>
              <w:top w:val="single" w:sz="2" w:space="0" w:color="181717"/>
              <w:left w:val="single" w:sz="2" w:space="0" w:color="181717"/>
              <w:bottom w:val="single" w:sz="2" w:space="0" w:color="181717"/>
              <w:right w:val="single" w:sz="2" w:space="0" w:color="181717"/>
            </w:tcBorders>
          </w:tcPr>
          <w:p w14:paraId="5B8AD5DE" w14:textId="77777777" w:rsidR="006C08A6" w:rsidRDefault="00000000">
            <w:pPr>
              <w:spacing w:after="0" w:line="259" w:lineRule="auto"/>
              <w:ind w:left="3" w:firstLine="0"/>
              <w:jc w:val="left"/>
            </w:pPr>
            <w:r>
              <w:rPr>
                <w:rFonts w:ascii="Calibri" w:eastAsia="Calibri" w:hAnsi="Calibri" w:cs="Calibri"/>
                <w:sz w:val="18"/>
              </w:rPr>
              <w:t>0 and 1</w:t>
            </w:r>
          </w:p>
        </w:tc>
      </w:tr>
      <w:tr w:rsidR="006C08A6" w14:paraId="6F3C377D" w14:textId="77777777">
        <w:trPr>
          <w:trHeight w:val="495"/>
        </w:trPr>
        <w:tc>
          <w:tcPr>
            <w:tcW w:w="795" w:type="dxa"/>
            <w:tcBorders>
              <w:top w:val="nil"/>
              <w:left w:val="nil"/>
              <w:bottom w:val="single" w:sz="2" w:space="0" w:color="181717"/>
              <w:right w:val="nil"/>
            </w:tcBorders>
            <w:shd w:val="clear" w:color="auto" w:fill="000000"/>
          </w:tcPr>
          <w:p w14:paraId="1F70FABF" w14:textId="77777777" w:rsidR="006C08A6" w:rsidRDefault="00000000">
            <w:pPr>
              <w:spacing w:after="0" w:line="259" w:lineRule="auto"/>
              <w:ind w:left="0" w:firstLine="0"/>
              <w:jc w:val="left"/>
            </w:pPr>
            <w:r>
              <w:rPr>
                <w:rFonts w:ascii="Calibri" w:eastAsia="Calibri" w:hAnsi="Calibri" w:cs="Calibri"/>
                <w:b/>
                <w:color w:val="FFFFFF"/>
                <w:sz w:val="18"/>
              </w:rPr>
              <w:t>Tool</w:t>
            </w:r>
          </w:p>
        </w:tc>
        <w:tc>
          <w:tcPr>
            <w:tcW w:w="5741" w:type="dxa"/>
            <w:tcBorders>
              <w:top w:val="nil"/>
              <w:left w:val="nil"/>
              <w:bottom w:val="single" w:sz="2" w:space="0" w:color="181717"/>
              <w:right w:val="nil"/>
            </w:tcBorders>
            <w:shd w:val="clear" w:color="auto" w:fill="000000"/>
          </w:tcPr>
          <w:p w14:paraId="4C502F0D" w14:textId="77777777" w:rsidR="006C08A6" w:rsidRDefault="00000000">
            <w:pPr>
              <w:spacing w:after="0" w:line="259" w:lineRule="auto"/>
              <w:ind w:left="0" w:firstLine="0"/>
              <w:jc w:val="left"/>
            </w:pPr>
            <w:r>
              <w:rPr>
                <w:rFonts w:ascii="Calibri" w:eastAsia="Calibri" w:hAnsi="Calibri" w:cs="Calibri"/>
                <w:b/>
                <w:color w:val="FFFFFF"/>
                <w:sz w:val="18"/>
              </w:rPr>
              <w:t>Prompt</w:t>
            </w:r>
          </w:p>
          <w:p w14:paraId="3B29F25F" w14:textId="77777777" w:rsidR="006C08A6" w:rsidRDefault="00000000">
            <w:pPr>
              <w:spacing w:after="0" w:line="259" w:lineRule="auto"/>
              <w:ind w:left="0" w:firstLine="0"/>
              <w:jc w:val="left"/>
            </w:pPr>
            <w:r>
              <w:rPr>
                <w:rFonts w:ascii="Calibri" w:eastAsia="Calibri" w:hAnsi="Calibri" w:cs="Calibri"/>
                <w:b/>
                <w:color w:val="FFFFFF"/>
                <w:sz w:val="18"/>
              </w:rPr>
              <w:t>[partially omitted for brevity]</w:t>
            </w:r>
          </w:p>
        </w:tc>
        <w:tc>
          <w:tcPr>
            <w:tcW w:w="664" w:type="dxa"/>
            <w:tcBorders>
              <w:top w:val="nil"/>
              <w:left w:val="nil"/>
              <w:bottom w:val="single" w:sz="2" w:space="0" w:color="181717"/>
              <w:right w:val="nil"/>
            </w:tcBorders>
            <w:shd w:val="clear" w:color="auto" w:fill="000000"/>
          </w:tcPr>
          <w:p w14:paraId="5343E886" w14:textId="77777777" w:rsidR="006C08A6" w:rsidRDefault="00000000">
            <w:pPr>
              <w:spacing w:after="0" w:line="259" w:lineRule="auto"/>
              <w:ind w:left="0" w:firstLine="0"/>
              <w:jc w:val="left"/>
            </w:pPr>
            <w:r>
              <w:rPr>
                <w:rFonts w:ascii="Calibri" w:eastAsia="Calibri" w:hAnsi="Calibri" w:cs="Calibri"/>
                <w:b/>
                <w:color w:val="FFFFFF"/>
                <w:sz w:val="18"/>
              </w:rPr>
              <w:t>Scoring system</w:t>
            </w:r>
          </w:p>
        </w:tc>
      </w:tr>
      <w:tr w:rsidR="006C08A6" w14:paraId="2F090A60" w14:textId="77777777">
        <w:trPr>
          <w:trHeight w:val="2511"/>
        </w:trPr>
        <w:tc>
          <w:tcPr>
            <w:tcW w:w="795" w:type="dxa"/>
            <w:tcBorders>
              <w:top w:val="single" w:sz="2" w:space="0" w:color="181717"/>
              <w:left w:val="single" w:sz="2" w:space="0" w:color="181717"/>
              <w:bottom w:val="single" w:sz="2" w:space="0" w:color="181717"/>
              <w:right w:val="single" w:sz="2" w:space="0" w:color="181717"/>
            </w:tcBorders>
          </w:tcPr>
          <w:p w14:paraId="7429BC4E" w14:textId="77777777" w:rsidR="006C08A6" w:rsidRDefault="00000000">
            <w:pPr>
              <w:spacing w:after="0" w:line="259" w:lineRule="auto"/>
              <w:ind w:left="3" w:firstLine="0"/>
              <w:jc w:val="left"/>
            </w:pPr>
            <w:r>
              <w:rPr>
                <w:rFonts w:ascii="Calibri" w:eastAsia="Calibri" w:hAnsi="Calibri" w:cs="Calibri"/>
                <w:color w:val="990000"/>
                <w:sz w:val="18"/>
              </w:rPr>
              <w:lastRenderedPageBreak/>
              <w:t>LlamaIndex</w:t>
            </w:r>
          </w:p>
        </w:tc>
        <w:tc>
          <w:tcPr>
            <w:tcW w:w="5741" w:type="dxa"/>
            <w:tcBorders>
              <w:top w:val="single" w:sz="2" w:space="0" w:color="181717"/>
              <w:left w:val="single" w:sz="2" w:space="0" w:color="181717"/>
              <w:bottom w:val="single" w:sz="2" w:space="0" w:color="181717"/>
              <w:right w:val="single" w:sz="2" w:space="0" w:color="181717"/>
            </w:tcBorders>
          </w:tcPr>
          <w:p w14:paraId="0029ECF5" w14:textId="77777777" w:rsidR="006C08A6" w:rsidRDefault="00000000">
            <w:pPr>
              <w:spacing w:after="20" w:line="260" w:lineRule="auto"/>
              <w:ind w:left="3" w:firstLine="0"/>
              <w:jc w:val="left"/>
            </w:pPr>
            <w:r>
              <w:rPr>
                <w:rFonts w:ascii="Courier New" w:eastAsia="Courier New" w:hAnsi="Courier New" w:cs="Courier New"/>
                <w:sz w:val="17"/>
              </w:rPr>
              <w:t>Please tell if a given piece of information is supported by the context.</w:t>
            </w:r>
          </w:p>
          <w:p w14:paraId="637426C7" w14:textId="77777777" w:rsidR="006C08A6" w:rsidRDefault="00000000">
            <w:pPr>
              <w:spacing w:after="48" w:line="259" w:lineRule="auto"/>
              <w:ind w:left="3" w:firstLine="0"/>
              <w:jc w:val="left"/>
            </w:pPr>
            <w:r>
              <w:rPr>
                <w:rFonts w:ascii="Courier New" w:eastAsia="Courier New" w:hAnsi="Courier New" w:cs="Courier New"/>
                <w:sz w:val="17"/>
              </w:rPr>
              <w:t>You need to answer with either YES or NO.</w:t>
            </w:r>
          </w:p>
          <w:p w14:paraId="7A008DD6" w14:textId="77777777" w:rsidR="006C08A6" w:rsidRDefault="00000000">
            <w:pPr>
              <w:spacing w:after="248" w:line="270" w:lineRule="auto"/>
              <w:ind w:left="3" w:firstLine="0"/>
              <w:jc w:val="left"/>
            </w:pPr>
            <w:r>
              <w:rPr>
                <w:rFonts w:ascii="Courier New" w:eastAsia="Courier New" w:hAnsi="Courier New" w:cs="Courier New"/>
                <w:sz w:val="17"/>
              </w:rPr>
              <w:t>Answer YES if any of the context supports</w:t>
            </w:r>
            <w:r>
              <w:rPr>
                <w:rFonts w:ascii="Calibri" w:eastAsia="Calibri" w:hAnsi="Calibri" w:cs="Calibri"/>
                <w:sz w:val="18"/>
              </w:rPr>
              <w:t xml:space="preserve"> </w:t>
            </w:r>
            <w:r>
              <w:rPr>
                <w:rFonts w:ascii="Courier New" w:eastAsia="Courier New" w:hAnsi="Courier New" w:cs="Courier New"/>
                <w:sz w:val="17"/>
              </w:rPr>
              <w:t>the information, even if most of the context is unrelated. Some examples are provided below.</w:t>
            </w:r>
          </w:p>
          <w:p w14:paraId="024E4867" w14:textId="77777777" w:rsidR="006C08A6" w:rsidRDefault="00000000">
            <w:pPr>
              <w:spacing w:after="21" w:line="259" w:lineRule="auto"/>
              <w:ind w:left="3" w:firstLine="0"/>
              <w:jc w:val="left"/>
            </w:pPr>
            <w:r>
              <w:rPr>
                <w:rFonts w:ascii="Courier New" w:eastAsia="Courier New" w:hAnsi="Courier New" w:cs="Courier New"/>
                <w:sz w:val="17"/>
              </w:rPr>
              <w:t>Information: Apple pie is generally double-crusted.</w:t>
            </w:r>
          </w:p>
          <w:p w14:paraId="103C3C10" w14:textId="77777777" w:rsidR="006C08A6" w:rsidRDefault="00000000">
            <w:pPr>
              <w:spacing w:after="9" w:line="258" w:lineRule="auto"/>
              <w:ind w:left="3" w:firstLine="0"/>
              <w:jc w:val="left"/>
            </w:pPr>
            <w:r>
              <w:rPr>
                <w:rFonts w:ascii="Courier New" w:eastAsia="Courier New" w:hAnsi="Courier New" w:cs="Courier New"/>
                <w:sz w:val="17"/>
              </w:rPr>
              <w:t>Context: An apple pie is a fruit pie… It is generally doublecrusted, with</w:t>
            </w:r>
            <w:r>
              <w:rPr>
                <w:rFonts w:ascii="Calibri" w:eastAsia="Calibri" w:hAnsi="Calibri" w:cs="Calibri"/>
                <w:sz w:val="18"/>
              </w:rPr>
              <w:t xml:space="preserve"> </w:t>
            </w:r>
            <w:r>
              <w:rPr>
                <w:rFonts w:ascii="Courier New" w:eastAsia="Courier New" w:hAnsi="Courier New" w:cs="Courier New"/>
                <w:sz w:val="17"/>
              </w:rPr>
              <w:t>pastry</w:t>
            </w:r>
            <w:r>
              <w:rPr>
                <w:rFonts w:ascii="Calibri" w:eastAsia="Calibri" w:hAnsi="Calibri" w:cs="Calibri"/>
                <w:sz w:val="18"/>
              </w:rPr>
              <w:t xml:space="preserve"> </w:t>
            </w:r>
            <w:r>
              <w:rPr>
                <w:rFonts w:ascii="Courier New" w:eastAsia="Courier New" w:hAnsi="Courier New" w:cs="Courier New"/>
                <w:sz w:val="17"/>
              </w:rPr>
              <w:t>both above and below the filling ...</w:t>
            </w:r>
          </w:p>
          <w:p w14:paraId="71D8DE78" w14:textId="77777777" w:rsidR="006C08A6" w:rsidRDefault="00000000">
            <w:pPr>
              <w:spacing w:after="0" w:line="259" w:lineRule="auto"/>
              <w:ind w:left="2" w:firstLine="0"/>
              <w:jc w:val="left"/>
            </w:pPr>
            <w:r>
              <w:rPr>
                <w:rFonts w:ascii="Courier New" w:eastAsia="Courier New" w:hAnsi="Courier New" w:cs="Courier New"/>
                <w:sz w:val="17"/>
              </w:rPr>
              <w:t>Answer: YES</w:t>
            </w:r>
          </w:p>
        </w:tc>
        <w:tc>
          <w:tcPr>
            <w:tcW w:w="664" w:type="dxa"/>
            <w:tcBorders>
              <w:top w:val="single" w:sz="2" w:space="0" w:color="181717"/>
              <w:left w:val="single" w:sz="2" w:space="0" w:color="181717"/>
              <w:bottom w:val="single" w:sz="2" w:space="0" w:color="181717"/>
              <w:right w:val="single" w:sz="2" w:space="0" w:color="181717"/>
            </w:tcBorders>
          </w:tcPr>
          <w:p w14:paraId="27DB9C54" w14:textId="77777777" w:rsidR="006C08A6" w:rsidRDefault="00000000">
            <w:pPr>
              <w:spacing w:after="0" w:line="259" w:lineRule="auto"/>
              <w:ind w:left="3" w:firstLine="0"/>
              <w:jc w:val="left"/>
            </w:pPr>
            <w:r>
              <w:rPr>
                <w:rFonts w:ascii="Calibri" w:eastAsia="Calibri" w:hAnsi="Calibri" w:cs="Calibri"/>
                <w:sz w:val="18"/>
              </w:rPr>
              <w:t>YES and NO</w:t>
            </w:r>
          </w:p>
        </w:tc>
      </w:tr>
    </w:tbl>
    <w:p w14:paraId="08DFBFC6" w14:textId="77777777" w:rsidR="006C08A6" w:rsidRDefault="00000000">
      <w:pPr>
        <w:ind w:left="-5"/>
      </w:pPr>
      <w:r>
        <w:t>The faithfulness scores outputted by these three tools won’t be comparable. If, given a (context, answer) pair, MLflow gives a faithfulness score of 3, Ragas outputs 1, and LlamaIndex outputs NO, which score would you use?</w:t>
      </w:r>
    </w:p>
    <w:p w14:paraId="0ACCB991" w14:textId="77777777" w:rsidR="006C08A6" w:rsidRDefault="00000000">
      <w:pPr>
        <w:ind w:left="-5"/>
      </w:pPr>
      <w:r>
        <w:t>An application evolves over time, but the way it’s evaluated ideally should be fixed. This way, evaluation metrics can be used to monitor the application’s changes. However, AI judges are also AI applications, which means that they also can change over time.</w:t>
      </w:r>
    </w:p>
    <w:p w14:paraId="6AF7B0B6" w14:textId="77777777" w:rsidR="006C08A6" w:rsidRDefault="00000000">
      <w:pPr>
        <w:ind w:left="-5"/>
      </w:pPr>
      <w:r>
        <w:t>Imagine that last month, your application’s coherence score was 90%, and this month, this score is 92%. Does this mean that your application’s coherence has improved? It’s hard to answer this question unless you know for sure that the AI judges used in both cases are exactly the same. What if the judge’s prompt this month is different from the one last month? Maybe you switched to a slightly betterperforming prompt or a coworker fixed a typo in last month’s prompt, and the judge this month is more lenient.</w:t>
      </w:r>
    </w:p>
    <w:p w14:paraId="3B43296F" w14:textId="77777777" w:rsidR="006C08A6" w:rsidRDefault="00000000">
      <w:pPr>
        <w:spacing w:after="282"/>
        <w:ind w:left="-5"/>
      </w:pPr>
      <w:r>
        <w:t>This can become especially confusing if the application and the AI judge are managed by different teams. The AI judge team might change the judges without informing the application team. As a result, the application team might mistakenly attribute the changes in the evaluation results to changes in the application, rather than the changes in the judges.</w:t>
      </w:r>
    </w:p>
    <w:p w14:paraId="1A994FC8" w14:textId="77777777" w:rsidR="006C08A6" w:rsidRDefault="00000000">
      <w:pPr>
        <w:spacing w:after="66" w:line="247" w:lineRule="auto"/>
        <w:ind w:left="1291" w:right="705"/>
      </w:pPr>
      <w:r>
        <w:rPr>
          <w:noProof/>
        </w:rPr>
        <w:drawing>
          <wp:anchor distT="0" distB="0" distL="114300" distR="114300" simplePos="0" relativeHeight="251664384" behindDoc="0" locked="0" layoutInCell="1" allowOverlap="0" wp14:anchorId="01FF3AD5" wp14:editId="3780B98C">
            <wp:simplePos x="0" y="0"/>
            <wp:positionH relativeFrom="column">
              <wp:posOffset>165155</wp:posOffset>
            </wp:positionH>
            <wp:positionV relativeFrom="paragraph">
              <wp:posOffset>-31048</wp:posOffset>
            </wp:positionV>
            <wp:extent cx="530352" cy="708372"/>
            <wp:effectExtent l="0" t="0" r="0" b="0"/>
            <wp:wrapSquare wrapText="bothSides"/>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71"/>
                    <a:stretch>
                      <a:fillRect/>
                    </a:stretch>
                  </pic:blipFill>
                  <pic:spPr>
                    <a:xfrm>
                      <a:off x="0" y="0"/>
                      <a:ext cx="530352" cy="708372"/>
                    </a:xfrm>
                    <a:prstGeom prst="rect">
                      <a:avLst/>
                    </a:prstGeom>
                  </pic:spPr>
                </pic:pic>
              </a:graphicData>
            </a:graphic>
          </wp:anchor>
        </w:drawing>
      </w:r>
      <w:r>
        <w:rPr>
          <w:sz w:val="19"/>
        </w:rPr>
        <w:t>Do not trust any AI judge if you can’t see the model and the prompt used for the judge.</w:t>
      </w:r>
    </w:p>
    <w:p w14:paraId="069677F0" w14:textId="77777777" w:rsidR="006C08A6" w:rsidRDefault="00000000">
      <w:pPr>
        <w:spacing w:after="250"/>
        <w:ind w:left="-5"/>
      </w:pPr>
      <w:r>
        <w:t>Evaluation methods take time to standardize. As the field evolves and more guardrails are introduced, I hope that future AI judges will become a lot more standardized and reliable.</w:t>
      </w:r>
    </w:p>
    <w:p w14:paraId="5583E237" w14:textId="77777777" w:rsidR="006C08A6" w:rsidRDefault="00000000">
      <w:pPr>
        <w:pStyle w:val="Heading3"/>
        <w:ind w:left="-5"/>
      </w:pPr>
      <w:r>
        <w:t>Increased costs and latency</w:t>
      </w:r>
    </w:p>
    <w:p w14:paraId="3F8A4261" w14:textId="77777777" w:rsidR="006C08A6" w:rsidRDefault="00000000">
      <w:pPr>
        <w:ind w:left="-5"/>
      </w:pPr>
      <w:r>
        <w:t>You can use AI judges to evaluate applications both during experimentation and in production. Many teams use AI judges as guardrails in production to reduce risks, showing users only generated responses deemed good by the AI judge.</w:t>
      </w:r>
    </w:p>
    <w:p w14:paraId="36215A61" w14:textId="77777777" w:rsidR="006C08A6" w:rsidRDefault="00000000">
      <w:pPr>
        <w:spacing w:after="156"/>
        <w:ind w:left="-5"/>
      </w:pPr>
      <w:r>
        <w:lastRenderedPageBreak/>
        <w:t>Using powerful models to evaluate responses can be expensive. If you use GPT-4 to both generate and evaluate responses, you’ll do twice as many GPT-4 calls, approximately doubling your API costs. If you have three evaluation prompts because you want to evaluate three criteria—say, overall response quality, factual consistency, and toxicity—you’ll increase your number of API calls four times.</w:t>
      </w:r>
      <w:r>
        <w:rPr>
          <w:sz w:val="18"/>
          <w:vertAlign w:val="superscript"/>
        </w:rPr>
        <w:footnoteReference w:id="17"/>
      </w:r>
    </w:p>
    <w:p w14:paraId="38951E98" w14:textId="77777777" w:rsidR="006C08A6" w:rsidRDefault="00000000">
      <w:pPr>
        <w:ind w:left="-5"/>
      </w:pPr>
      <w:r>
        <w:t xml:space="preserve">You can reduce costs by using weaker models as the judges (see </w:t>
      </w:r>
      <w:r>
        <w:rPr>
          <w:color w:val="990000"/>
        </w:rPr>
        <w:t>“What Models Can Act as Judges?” on page 145</w:t>
      </w:r>
      <w:r>
        <w:t xml:space="preserve">.) You can also reduce costs with </w:t>
      </w:r>
      <w:r>
        <w:rPr>
          <w:i/>
        </w:rPr>
        <w:t>spot-checking</w:t>
      </w:r>
      <w:r>
        <w:t>: evaluating only a subset of responses.</w:t>
      </w:r>
      <w:r>
        <w:rPr>
          <w:sz w:val="18"/>
          <w:vertAlign w:val="superscript"/>
        </w:rPr>
        <w:footnoteReference w:id="18"/>
      </w:r>
      <w:r>
        <w:t xml:space="preserve"> Spot-checking means you might fail to catch some failures. The larger the percentage of samples you evaluate, the more confidence you will have in your evaluation results, but also the higher the costs. Finding the right balance between cost and confidence might take trial and error. This process is discussed further in </w:t>
      </w:r>
      <w:r>
        <w:rPr>
          <w:color w:val="990000"/>
        </w:rPr>
        <w:t>Chapter 4</w:t>
      </w:r>
      <w:r>
        <w:t>. All things considered, AI judges are much cheaper than human evaluators.</w:t>
      </w:r>
    </w:p>
    <w:p w14:paraId="4BC38183" w14:textId="77777777" w:rsidR="006C08A6" w:rsidRDefault="00000000">
      <w:pPr>
        <w:spacing w:after="250"/>
        <w:ind w:left="-5"/>
      </w:pPr>
      <w:r>
        <w:t>Implementing AI judges in your production pipeline can add latency. If you evaluate responses before returning them to users, you face a trade-off: reduced risk but increased latency. The added latency might make this option a nonstarter for applications with strict latency requirements.</w:t>
      </w:r>
    </w:p>
    <w:p w14:paraId="264C65B1" w14:textId="77777777" w:rsidR="006C08A6" w:rsidRDefault="00000000">
      <w:pPr>
        <w:pStyle w:val="Heading3"/>
        <w:ind w:left="-5"/>
      </w:pPr>
      <w:r>
        <w:t>Biases of AI as a judge</w:t>
      </w:r>
    </w:p>
    <w:p w14:paraId="5BE60EBE" w14:textId="77777777" w:rsidR="006C08A6" w:rsidRDefault="00000000">
      <w:pPr>
        <w:ind w:left="-5"/>
      </w:pPr>
      <w:r>
        <w:t>Human evaluators have biases, and so do AI judges. Different AI judges have different biases. This section will discuss some of the common ones. Being aware of your AI judges’ biases helps you interpret their scores correctly and even mitigate these biases.</w:t>
      </w:r>
    </w:p>
    <w:p w14:paraId="23D067E4" w14:textId="77777777" w:rsidR="006C08A6" w:rsidRDefault="00000000">
      <w:pPr>
        <w:ind w:left="-5"/>
      </w:pPr>
      <w:r>
        <w:t xml:space="preserve">AI judges tend to have </w:t>
      </w:r>
      <w:r>
        <w:rPr>
          <w:i/>
        </w:rPr>
        <w:t>self-bias</w:t>
      </w:r>
      <w:r>
        <w:t xml:space="preserve">, where a model favors its own responses over the responses generated by other models. The same mechanism that helps a model compute the most likely response to generate will also give this response a high score. In </w:t>
      </w:r>
      <w:r>
        <w:rPr>
          <w:color w:val="990000"/>
        </w:rPr>
        <w:t>Zheng et al.’s 2023 experiment</w:t>
      </w:r>
      <w:r>
        <w:t>, GPT-4 favors itself with a 10% higher win rate, while Claude-v1 favors itself with a 25% higher win rate.</w:t>
      </w:r>
    </w:p>
    <w:p w14:paraId="0D2E59A4" w14:textId="77777777" w:rsidR="006C08A6" w:rsidRDefault="00000000">
      <w:pPr>
        <w:ind w:left="-5"/>
      </w:pPr>
      <w:r>
        <w:t xml:space="preserve">Many AI models have first-position bias. An AI judge may favor the first answer in a pairwise comparison or the first in a list of options. This can be mitigated by repeating the same test multiple times with different orderings or with carefully crafted prompts. The position bias of AI is the opposite of that of humans. Humans tend to favor </w:t>
      </w:r>
      <w:r>
        <w:rPr>
          <w:color w:val="990000"/>
        </w:rPr>
        <w:t>the answer they see last</w:t>
      </w:r>
      <w:r>
        <w:rPr>
          <w:i/>
        </w:rPr>
        <w:t xml:space="preserve">, </w:t>
      </w:r>
      <w:r>
        <w:t xml:space="preserve">which is called </w:t>
      </w:r>
      <w:r>
        <w:rPr>
          <w:i/>
        </w:rPr>
        <w:t>recency bias</w:t>
      </w:r>
      <w:r>
        <w:t>.</w:t>
      </w:r>
    </w:p>
    <w:p w14:paraId="4631AAD1" w14:textId="77777777" w:rsidR="006C08A6" w:rsidRDefault="00000000">
      <w:pPr>
        <w:ind w:left="-5"/>
      </w:pPr>
      <w:r>
        <w:t xml:space="preserve">Some AI judges have </w:t>
      </w:r>
      <w:r>
        <w:rPr>
          <w:i/>
        </w:rPr>
        <w:t>verbosity bias</w:t>
      </w:r>
      <w:r>
        <w:t xml:space="preserve">, favoring lengthier answers, regardless of their quality. </w:t>
      </w:r>
      <w:r>
        <w:rPr>
          <w:color w:val="990000"/>
        </w:rPr>
        <w:t>Wu and Aji (2023)</w:t>
      </w:r>
      <w:r>
        <w:t xml:space="preserve"> found that both GPT-4 and Claude-1 prefer longer responses (~100 words) with factual errors over shorter, correct responses (~50 words). </w:t>
      </w:r>
      <w:r>
        <w:rPr>
          <w:color w:val="990000"/>
        </w:rPr>
        <w:t>Saito et al. (2023)</w:t>
      </w:r>
      <w:r>
        <w:t xml:space="preserve"> studied this bias for creative tasks and found that when the length difference is large enough (e.g., one response is twice as long as the other), the judge almost </w:t>
      </w:r>
      <w:r>
        <w:lastRenderedPageBreak/>
        <w:t>always prefers the longer one.</w:t>
      </w:r>
      <w:r>
        <w:rPr>
          <w:sz w:val="18"/>
          <w:vertAlign w:val="superscript"/>
        </w:rPr>
        <w:footnoteReference w:id="19"/>
      </w:r>
      <w:r>
        <w:t xml:space="preserve"> Both Zheng et al. (2023) and Saito et al. (2023), however, discovered that GPT-4 is less prone to this bias than GPT-3.5, suggesting that this bias might go away as models become stronger.</w:t>
      </w:r>
    </w:p>
    <w:p w14:paraId="7A72DD47" w14:textId="77777777" w:rsidR="006C08A6" w:rsidRDefault="00000000">
      <w:pPr>
        <w:ind w:left="-5"/>
      </w:pPr>
      <w:r>
        <w:t>On top of all these biases, AI judges have the same limitations as all AI applications, including privacy and IP. If you use a proprietary model as your judge, you’d need to send your data to this model. If the model provider doesn’t disclose their training data, you won’t know for sure if the judge is commercially safe to use.</w:t>
      </w:r>
    </w:p>
    <w:p w14:paraId="239FE654" w14:textId="77777777" w:rsidR="006C08A6" w:rsidRDefault="00000000">
      <w:pPr>
        <w:spacing w:after="23"/>
        <w:ind w:left="-5"/>
      </w:pPr>
      <w:r>
        <w:t xml:space="preserve">Despite the limitations of the AI as a judge approach, its many advantages make me believe that its adoption will continue to grow. However, AI judges should be supplemented with exact evaluation methods and/or human evaluation. </w:t>
      </w:r>
      <w:r>
        <w:rPr>
          <w:rFonts w:ascii="Calibri" w:eastAsia="Calibri" w:hAnsi="Calibri" w:cs="Calibri"/>
          <w:b/>
          <w:sz w:val="32"/>
        </w:rPr>
        <w:t>What Models Can Act as Judges?</w:t>
      </w:r>
    </w:p>
    <w:p w14:paraId="4853EFF8" w14:textId="77777777" w:rsidR="006C08A6" w:rsidRDefault="00000000">
      <w:pPr>
        <w:ind w:left="-5"/>
      </w:pPr>
      <w:r>
        <w:t>The judge can either be stronger, weaker, or the same as the model being judged. Each scenario has its pros and cons.</w:t>
      </w:r>
    </w:p>
    <w:p w14:paraId="5729D38F" w14:textId="77777777" w:rsidR="006C08A6" w:rsidRDefault="00000000">
      <w:pPr>
        <w:ind w:left="-5"/>
      </w:pPr>
      <w:r>
        <w:t>At first glance, a stronger judge makes sense. Shouldn’t the exam grader be more knowledgeable than the exam taker? Not only can stronger models make better judgments, but they can also help improve weaker models by guiding them to generate better responses.</w:t>
      </w:r>
    </w:p>
    <w:p w14:paraId="7AA60650" w14:textId="77777777" w:rsidR="006C08A6" w:rsidRDefault="00000000">
      <w:pPr>
        <w:ind w:left="-5"/>
      </w:pPr>
      <w:r>
        <w:t>You might wonder: if you already have access to the stronger model, why bother using a weaker model to generate responses? The answer is cost and latency. You might not have the budget to use the stronger model to generate all responses, so you use it to evaluate a subset of responses. For example, you may use a cheap in-house model to generate responses and GPT-4 to evaluate 1% of the responses.</w:t>
      </w:r>
    </w:p>
    <w:p w14:paraId="4E4D2472" w14:textId="77777777" w:rsidR="006C08A6" w:rsidRDefault="00000000">
      <w:pPr>
        <w:ind w:left="-5"/>
      </w:pPr>
      <w:r>
        <w:t>The stronger model also might be too slow for your application. You can use a fast model to generate responses while the stronger, but slower, model does evaluation in the background. If the strong model thinks that the weak model’s response is bad, remedy actions might be taken, such as updating the response with that of the strong model. Note that the opposite pattern is also common. You use a strong model to generate responses, with a weak model running in the background to do evaluation.</w:t>
      </w:r>
    </w:p>
    <w:p w14:paraId="007C0D26" w14:textId="77777777" w:rsidR="006C08A6" w:rsidRDefault="00000000">
      <w:pPr>
        <w:ind w:left="-5"/>
      </w:pPr>
      <w:r>
        <w:t>Using the stronger model as a judge leaves us with two challenges. First, the strongest model will be left with no eligible judge. Second, we need an alternative evaluation method to determine which model is the strongest.</w:t>
      </w:r>
    </w:p>
    <w:p w14:paraId="32111537" w14:textId="77777777" w:rsidR="006C08A6" w:rsidRDefault="00000000">
      <w:pPr>
        <w:spacing w:after="158"/>
        <w:ind w:left="-5"/>
      </w:pPr>
      <w:r>
        <w:t xml:space="preserve">Using a model to judge itself, </w:t>
      </w:r>
      <w:r>
        <w:rPr>
          <w:i/>
        </w:rPr>
        <w:t>self-evaluation</w:t>
      </w:r>
      <w:r>
        <w:t xml:space="preserve"> or </w:t>
      </w:r>
      <w:r>
        <w:rPr>
          <w:i/>
        </w:rPr>
        <w:t>self-critique</w:t>
      </w:r>
      <w:r>
        <w:t xml:space="preserve">, sounds like cheating, especially because of self-bias. However, self-evaluation can be great for sanity checks. If a model thinks its own response is incorrect, the model might not be that reliable. Beyond sanity checks, asking a model to evaluate itself can nudge a model to revise </w:t>
      </w:r>
      <w:r>
        <w:lastRenderedPageBreak/>
        <w:t>and improve its responses (</w:t>
      </w:r>
      <w:r>
        <w:rPr>
          <w:color w:val="990000"/>
        </w:rPr>
        <w:t>Press et al., 2022</w:t>
      </w:r>
      <w:r>
        <w:t xml:space="preserve">; </w:t>
      </w:r>
      <w:r>
        <w:rPr>
          <w:color w:val="990000"/>
        </w:rPr>
        <w:t>Gou et al., 2023</w:t>
      </w:r>
      <w:r>
        <w:t xml:space="preserve">; </w:t>
      </w:r>
      <w:r>
        <w:rPr>
          <w:color w:val="990000"/>
        </w:rPr>
        <w:t>Valmeekamet et al., 2023</w:t>
      </w:r>
      <w:r>
        <w:t>).</w:t>
      </w:r>
      <w:r>
        <w:rPr>
          <w:sz w:val="18"/>
          <w:vertAlign w:val="superscript"/>
        </w:rPr>
        <w:footnoteReference w:id="20"/>
      </w:r>
      <w:r>
        <w:t xml:space="preserve"> This example shows what self-evaluation might look like:</w:t>
      </w:r>
    </w:p>
    <w:p w14:paraId="5467B17A" w14:textId="77777777" w:rsidR="006C08A6" w:rsidRDefault="00000000">
      <w:pPr>
        <w:spacing w:after="77" w:line="259" w:lineRule="auto"/>
        <w:ind w:left="399" w:right="2584"/>
        <w:jc w:val="left"/>
      </w:pPr>
      <w:r>
        <w:rPr>
          <w:rFonts w:ascii="Courier New" w:eastAsia="Courier New" w:hAnsi="Courier New" w:cs="Courier New"/>
          <w:b/>
          <w:sz w:val="18"/>
        </w:rPr>
        <w:t>Prompt [from user]</w:t>
      </w:r>
      <w:r>
        <w:rPr>
          <w:rFonts w:ascii="Courier New" w:eastAsia="Courier New" w:hAnsi="Courier New" w:cs="Courier New"/>
          <w:sz w:val="18"/>
        </w:rPr>
        <w:t>: What’s 10+3?</w:t>
      </w:r>
    </w:p>
    <w:p w14:paraId="29107A23" w14:textId="77777777" w:rsidR="006C08A6" w:rsidRDefault="00000000">
      <w:pPr>
        <w:spacing w:after="0" w:line="352" w:lineRule="auto"/>
        <w:ind w:left="399" w:right="2584"/>
        <w:jc w:val="left"/>
      </w:pPr>
      <w:r>
        <w:rPr>
          <w:rFonts w:ascii="Courier New" w:eastAsia="Courier New" w:hAnsi="Courier New" w:cs="Courier New"/>
          <w:b/>
          <w:sz w:val="18"/>
        </w:rPr>
        <w:t>First response [from AI]</w:t>
      </w:r>
      <w:r>
        <w:rPr>
          <w:rFonts w:ascii="Courier New" w:eastAsia="Courier New" w:hAnsi="Courier New" w:cs="Courier New"/>
          <w:sz w:val="18"/>
        </w:rPr>
        <w:t xml:space="preserve">: 30 </w:t>
      </w:r>
      <w:r>
        <w:rPr>
          <w:rFonts w:ascii="Courier New" w:eastAsia="Courier New" w:hAnsi="Courier New" w:cs="Courier New"/>
          <w:b/>
          <w:sz w:val="18"/>
        </w:rPr>
        <w:t>Self-critique [from AI]</w:t>
      </w:r>
      <w:r>
        <w:rPr>
          <w:rFonts w:ascii="Courier New" w:eastAsia="Courier New" w:hAnsi="Courier New" w:cs="Courier New"/>
          <w:sz w:val="18"/>
        </w:rPr>
        <w:t>: Is this answer correct?</w:t>
      </w:r>
    </w:p>
    <w:p w14:paraId="782A6694" w14:textId="77777777" w:rsidR="006C08A6" w:rsidRDefault="00000000">
      <w:pPr>
        <w:spacing w:after="169" w:line="269" w:lineRule="auto"/>
        <w:ind w:left="355" w:right="345"/>
      </w:pPr>
      <w:r>
        <w:rPr>
          <w:rFonts w:ascii="Courier New" w:eastAsia="Courier New" w:hAnsi="Courier New" w:cs="Courier New"/>
          <w:b/>
          <w:sz w:val="18"/>
        </w:rPr>
        <w:t>Final response [from AI]</w:t>
      </w:r>
      <w:r>
        <w:rPr>
          <w:rFonts w:ascii="Courier New" w:eastAsia="Courier New" w:hAnsi="Courier New" w:cs="Courier New"/>
          <w:sz w:val="18"/>
        </w:rPr>
        <w:t>: No it’s not. The correct answer is 13.</w:t>
      </w:r>
    </w:p>
    <w:p w14:paraId="0DAE421E" w14:textId="77777777" w:rsidR="006C08A6" w:rsidRDefault="00000000">
      <w:pPr>
        <w:ind w:left="-5"/>
      </w:pPr>
      <w:r>
        <w:t>One open question is whether the judge can be weaker than the model being judged. Some argue that judging is an easier task than generating. Anyone can have an opinion about whether a song is good, but not everyone can write a song. Weaker models should be able to judge the outputs of stronger models.</w:t>
      </w:r>
    </w:p>
    <w:p w14:paraId="712B203C" w14:textId="77777777" w:rsidR="006C08A6" w:rsidRDefault="00000000">
      <w:pPr>
        <w:ind w:left="-5"/>
      </w:pPr>
      <w:r>
        <w:rPr>
          <w:color w:val="990000"/>
        </w:rPr>
        <w:t>Zheng et al. (2023)</w:t>
      </w:r>
      <w:r>
        <w:t xml:space="preserve"> found that stronger models are better correlated to human preference, which makes people opt for the strongest models they can afford. However, this experiment was limited to general-purpose judges. One research direction that I’m excited about is small, specialized judges. Specialized judges are trained to make specific judgments, using specific criteria and following specific scoring systems. A small, specialized judge can be more reliable than larger, general-purpose judges for specific judgments.</w:t>
      </w:r>
    </w:p>
    <w:p w14:paraId="1E808580" w14:textId="77777777" w:rsidR="006C08A6" w:rsidRDefault="00000000">
      <w:pPr>
        <w:ind w:left="-5"/>
      </w:pPr>
      <w:r>
        <w:t>Because there are many possible ways to use AI judges, there are many possible specialized AI judges. Here, I’ll go over examples of three specialized judges: reward models, reference-based judges, and preference models:</w:t>
      </w:r>
    </w:p>
    <w:p w14:paraId="438E41F6" w14:textId="77777777" w:rsidR="006C08A6" w:rsidRDefault="00000000">
      <w:pPr>
        <w:spacing w:after="5" w:line="254" w:lineRule="auto"/>
        <w:ind w:left="-5"/>
        <w:jc w:val="left"/>
      </w:pPr>
      <w:r>
        <w:rPr>
          <w:i/>
        </w:rPr>
        <w:t>Reward model</w:t>
      </w:r>
    </w:p>
    <w:p w14:paraId="438558A1" w14:textId="77777777" w:rsidR="006C08A6" w:rsidRDefault="00000000">
      <w:pPr>
        <w:ind w:left="414"/>
      </w:pPr>
      <w:r>
        <w:t xml:space="preserve">A reward model takes in a (prompt, response) pair and scores how good the response is given the prompt. Reward models have been successfully used in RLHF for many years. </w:t>
      </w:r>
      <w:r>
        <w:rPr>
          <w:color w:val="990000"/>
        </w:rPr>
        <w:t>Cappy</w:t>
      </w:r>
      <w:r>
        <w:t xml:space="preserve"> is an example of a reward model developed by Google (2023). Given a pair of (prompt, response), Cappy produces a score between 0 and 1, indicating how correct the response is. Cappy is a lightweight scorer with 360 million parameters, much smaller than general-purpose foundation models.</w:t>
      </w:r>
    </w:p>
    <w:p w14:paraId="6DA5DF4B" w14:textId="77777777" w:rsidR="006C08A6" w:rsidRDefault="00000000">
      <w:pPr>
        <w:spacing w:after="5" w:line="254" w:lineRule="auto"/>
        <w:ind w:left="-5"/>
        <w:jc w:val="left"/>
      </w:pPr>
      <w:r>
        <w:rPr>
          <w:i/>
        </w:rPr>
        <w:t>Reference-based judge</w:t>
      </w:r>
    </w:p>
    <w:p w14:paraId="0F74330A" w14:textId="77777777" w:rsidR="006C08A6" w:rsidRDefault="00000000">
      <w:pPr>
        <w:ind w:left="414"/>
      </w:pPr>
      <w:r>
        <w:t>A reference-based judge evaluates the generated response with respect to one or more reference responses. This judge can output a similarity score or a quality score (how good the generated response is compared to the reference responses). For example, BLEURT (</w:t>
      </w:r>
      <w:r>
        <w:rPr>
          <w:color w:val="990000"/>
        </w:rPr>
        <w:t>Sellam et al., 2020</w:t>
      </w:r>
      <w:r>
        <w:t xml:space="preserve">) takes in a (candidate response, reference response) pair and outputs a similarity score between the candidate and </w:t>
      </w:r>
      <w:r>
        <w:lastRenderedPageBreak/>
        <w:t>reference response.</w:t>
      </w:r>
      <w:r>
        <w:rPr>
          <w:sz w:val="18"/>
          <w:vertAlign w:val="superscript"/>
        </w:rPr>
        <w:footnoteReference w:id="21"/>
      </w:r>
      <w:r>
        <w:t xml:space="preserve"> Prometheus (</w:t>
      </w:r>
      <w:r>
        <w:rPr>
          <w:color w:val="990000"/>
        </w:rPr>
        <w:t>Kim et al., 2023</w:t>
      </w:r>
      <w:r>
        <w:t>) takes in (prompt, generated response, reference response, scoring rubric) and outputs a quality score between 1 and 5, assuming that the reference response gets a 5.</w:t>
      </w:r>
    </w:p>
    <w:p w14:paraId="77D6C498" w14:textId="77777777" w:rsidR="006C08A6" w:rsidRDefault="00000000">
      <w:pPr>
        <w:spacing w:after="5" w:line="254" w:lineRule="auto"/>
        <w:ind w:left="-5"/>
        <w:jc w:val="left"/>
      </w:pPr>
      <w:r>
        <w:rPr>
          <w:i/>
        </w:rPr>
        <w:t>Preference model</w:t>
      </w:r>
    </w:p>
    <w:p w14:paraId="054103BE" w14:textId="77777777" w:rsidR="006C08A6" w:rsidRDefault="00000000">
      <w:pPr>
        <w:ind w:left="414"/>
      </w:pPr>
      <w:r>
        <w:t xml:space="preserve">A preference model takes in (prompt, response 1, response 2) as input and outputs which of the two responses is better (preferred by users) for the given prompt. This is perhaps one of the more exciting directions for specialized judges. Being able to predict human preference opens up many possibilities. As discussed in </w:t>
      </w:r>
      <w:r>
        <w:rPr>
          <w:color w:val="990000"/>
        </w:rPr>
        <w:t>Chapter 2</w:t>
      </w:r>
      <w:r>
        <w:t>, preference data is essential for aligning AI models to human preference, and it’s challenging and expensive to obtain. Having a good human preference predictor can generally make evaluation easier and models safer to use. There have been many initiatives in building preference models, including PandaLM (</w:t>
      </w:r>
      <w:r>
        <w:rPr>
          <w:color w:val="990000"/>
        </w:rPr>
        <w:t>Wang et al., 2023</w:t>
      </w:r>
      <w:r>
        <w:t>) and JudgeLM (</w:t>
      </w:r>
      <w:r>
        <w:rPr>
          <w:color w:val="990000"/>
        </w:rPr>
        <w:t>Zhu et al., 2023</w:t>
      </w:r>
      <w:r>
        <w:t xml:space="preserve">). </w:t>
      </w:r>
      <w:r>
        <w:rPr>
          <w:color w:val="990000"/>
        </w:rPr>
        <w:t>Figure 3-9</w:t>
      </w:r>
      <w:r>
        <w:t xml:space="preserve"> shows an example of how PandaLM works. It not only outputs which response is better but also explains its rationale.</w:t>
      </w:r>
    </w:p>
    <w:p w14:paraId="2A3941B4" w14:textId="77777777" w:rsidR="006C08A6" w:rsidRDefault="00000000">
      <w:pPr>
        <w:spacing w:after="36" w:line="259" w:lineRule="auto"/>
        <w:ind w:left="406" w:right="-9" w:firstLine="0"/>
        <w:jc w:val="left"/>
      </w:pPr>
      <w:r>
        <w:rPr>
          <w:rFonts w:ascii="Calibri" w:eastAsia="Calibri" w:hAnsi="Calibri" w:cs="Calibri"/>
          <w:noProof/>
          <w:sz w:val="22"/>
        </w:rPr>
        <mc:AlternateContent>
          <mc:Choice Requires="wpg">
            <w:drawing>
              <wp:inline distT="0" distB="0" distL="0" distR="0" wp14:anchorId="605B043B" wp14:editId="1EBE2A25">
                <wp:extent cx="4348305" cy="3011318"/>
                <wp:effectExtent l="0" t="0" r="0" b="0"/>
                <wp:docPr id="37321" name="Group 37321"/>
                <wp:cNvGraphicFramePr/>
                <a:graphic xmlns:a="http://schemas.openxmlformats.org/drawingml/2006/main">
                  <a:graphicData uri="http://schemas.microsoft.com/office/word/2010/wordprocessingGroup">
                    <wpg:wgp>
                      <wpg:cNvGrpSpPr/>
                      <wpg:grpSpPr>
                        <a:xfrm>
                          <a:off x="0" y="0"/>
                          <a:ext cx="4348305" cy="3011318"/>
                          <a:chOff x="0" y="0"/>
                          <a:chExt cx="4348305" cy="3011318"/>
                        </a:xfrm>
                      </wpg:grpSpPr>
                      <wps:wsp>
                        <wps:cNvPr id="2764" name="Shape 2764"/>
                        <wps:cNvSpPr/>
                        <wps:spPr>
                          <a:xfrm>
                            <a:off x="0" y="865"/>
                            <a:ext cx="4348305" cy="0"/>
                          </a:xfrm>
                          <a:custGeom>
                            <a:avLst/>
                            <a:gdLst/>
                            <a:ahLst/>
                            <a:cxnLst/>
                            <a:rect l="0" t="0" r="0" b="0"/>
                            <a:pathLst>
                              <a:path w="4348305">
                                <a:moveTo>
                                  <a:pt x="4348305" y="0"/>
                                </a:moveTo>
                                <a:lnTo>
                                  <a:pt x="71"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766" name="Shape 2766"/>
                        <wps:cNvSpPr/>
                        <wps:spPr>
                          <a:xfrm>
                            <a:off x="4347440" y="0"/>
                            <a:ext cx="0" cy="3011317"/>
                          </a:xfrm>
                          <a:custGeom>
                            <a:avLst/>
                            <a:gdLst/>
                            <a:ahLst/>
                            <a:cxnLst/>
                            <a:rect l="0" t="0" r="0" b="0"/>
                            <a:pathLst>
                              <a:path h="3011317">
                                <a:moveTo>
                                  <a:pt x="0" y="3011317"/>
                                </a:moveTo>
                                <a:lnTo>
                                  <a:pt x="0" y="71"/>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768" name="Shape 2768"/>
                        <wps:cNvSpPr/>
                        <wps:spPr>
                          <a:xfrm>
                            <a:off x="0" y="3010453"/>
                            <a:ext cx="4348305" cy="0"/>
                          </a:xfrm>
                          <a:custGeom>
                            <a:avLst/>
                            <a:gdLst/>
                            <a:ahLst/>
                            <a:cxnLst/>
                            <a:rect l="0" t="0" r="0" b="0"/>
                            <a:pathLst>
                              <a:path w="4348305">
                                <a:moveTo>
                                  <a:pt x="4348305" y="0"/>
                                </a:moveTo>
                                <a:lnTo>
                                  <a:pt x="4348234"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770" name="Shape 2770"/>
                        <wps:cNvSpPr/>
                        <wps:spPr>
                          <a:xfrm>
                            <a:off x="865" y="0"/>
                            <a:ext cx="0" cy="3011318"/>
                          </a:xfrm>
                          <a:custGeom>
                            <a:avLst/>
                            <a:gdLst/>
                            <a:ahLst/>
                            <a:cxnLst/>
                            <a:rect l="0" t="0" r="0" b="0"/>
                            <a:pathLst>
                              <a:path h="3011318">
                                <a:moveTo>
                                  <a:pt x="0" y="3011318"/>
                                </a:moveTo>
                                <a:lnTo>
                                  <a:pt x="0" y="3011247"/>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78" name="Picture 2778"/>
                          <pic:cNvPicPr/>
                        </pic:nvPicPr>
                        <pic:blipFill>
                          <a:blip r:embed="rId74"/>
                          <a:stretch>
                            <a:fillRect/>
                          </a:stretch>
                        </pic:blipFill>
                        <pic:spPr>
                          <a:xfrm>
                            <a:off x="111037" y="65952"/>
                            <a:ext cx="4126230" cy="2867774"/>
                          </a:xfrm>
                          <a:prstGeom prst="rect">
                            <a:avLst/>
                          </a:prstGeom>
                        </pic:spPr>
                      </pic:pic>
                    </wpg:wgp>
                  </a:graphicData>
                </a:graphic>
              </wp:inline>
            </w:drawing>
          </mc:Choice>
          <mc:Fallback xmlns:a="http://schemas.openxmlformats.org/drawingml/2006/main">
            <w:pict>
              <v:group id="Group 37321" style="width:342.386pt;height:237.112pt;mso-position-horizontal-relative:char;mso-position-vertical-relative:line" coordsize="43483,30113">
                <v:shape id="Shape 2764" style="position:absolute;width:43483;height:0;left:0;top:8;" coordsize="4348305,0" path="m4348305,0l71,0l0,0">
                  <v:stroke weight="0.25pt" endcap="round" joinstyle="miter" miterlimit="10" on="true" color="#000000"/>
                  <v:fill on="false" color="#000000" opacity="0"/>
                </v:shape>
                <v:shape id="Shape 2766" style="position:absolute;width:0;height:30113;left:43474;top:0;" coordsize="0,3011317" path="m0,3011317l0,71l0,0">
                  <v:stroke weight="0.25pt" endcap="round" joinstyle="miter" miterlimit="10" on="true" color="#000000"/>
                  <v:fill on="false" color="#000000" opacity="0"/>
                </v:shape>
                <v:shape id="Shape 2768" style="position:absolute;width:43483;height:0;left:0;top:30104;" coordsize="4348305,0" path="m4348305,0l4348234,0l0,0">
                  <v:stroke weight="0.25pt" endcap="round" joinstyle="miter" miterlimit="10" on="true" color="#000000"/>
                  <v:fill on="false" color="#000000" opacity="0"/>
                </v:shape>
                <v:shape id="Shape 2770" style="position:absolute;width:0;height:30113;left:8;top:0;" coordsize="0,3011318" path="m0,3011318l0,3011247l0,0">
                  <v:stroke weight="0.25pt" endcap="round" joinstyle="miter" miterlimit="10" on="true" color="#000000"/>
                  <v:fill on="false" color="#000000" opacity="0"/>
                </v:shape>
                <v:shape id="Picture 2778" style="position:absolute;width:41262;height:28677;left:1110;top:659;" filled="f">
                  <v:imagedata r:id="rId75"/>
                </v:shape>
              </v:group>
            </w:pict>
          </mc:Fallback>
        </mc:AlternateContent>
      </w:r>
    </w:p>
    <w:p w14:paraId="719A5A46" w14:textId="77777777" w:rsidR="006C08A6" w:rsidRDefault="00000000">
      <w:pPr>
        <w:spacing w:after="235" w:line="254" w:lineRule="auto"/>
        <w:ind w:left="414"/>
        <w:jc w:val="left"/>
      </w:pPr>
      <w:r>
        <w:rPr>
          <w:i/>
        </w:rPr>
        <w:t>Figure 3-9. An example output of PandaLM, given a human prompt and two generated responses. Picture from Wang et al. (2023), modified slightly for readability. The original image is available under the Apache License 2.0.</w:t>
      </w:r>
    </w:p>
    <w:p w14:paraId="49861EFF" w14:textId="77777777" w:rsidR="006C08A6" w:rsidRDefault="00000000">
      <w:pPr>
        <w:ind w:left="-5"/>
      </w:pPr>
      <w:r>
        <w:lastRenderedPageBreak/>
        <w:t>Despite its limitations, the AI as a judge approach is versatile and powerful. Using cheaper models as judges makes it even more useful. Many of my colleagues, who were initially skeptical, have started to rely on it more in production.</w:t>
      </w:r>
    </w:p>
    <w:p w14:paraId="3960084F" w14:textId="77777777" w:rsidR="006C08A6" w:rsidRDefault="00000000">
      <w:pPr>
        <w:spacing w:after="351"/>
        <w:ind w:left="-5"/>
      </w:pPr>
      <w:r>
        <w:t>AI as a judge is exciting, and the next approach we’ll discuss is just as intriguing. It’s inspired by game design, a fascinating field..</w:t>
      </w:r>
    </w:p>
    <w:p w14:paraId="342B9937" w14:textId="77777777" w:rsidR="006C08A6" w:rsidRDefault="00000000">
      <w:pPr>
        <w:pStyle w:val="Heading1"/>
        <w:ind w:left="-5"/>
      </w:pPr>
      <w:r>
        <w:t>Ranking Models with Comparative Evaluation</w:t>
      </w:r>
    </w:p>
    <w:p w14:paraId="07A196A5" w14:textId="77777777" w:rsidR="006C08A6" w:rsidRDefault="00000000">
      <w:pPr>
        <w:spacing w:after="94"/>
        <w:ind w:left="-5"/>
      </w:pPr>
      <w:r>
        <w:t>Often, you evaluate models not because you care about their scores, but because you want to know which model is the best for you. What you want is a ranking of these models. You can rank models using either pointwise evaluation or comparative evaluation.</w:t>
      </w:r>
    </w:p>
    <w:p w14:paraId="5D1CEC3D" w14:textId="77777777" w:rsidR="006C08A6" w:rsidRDefault="00000000">
      <w:pPr>
        <w:ind w:left="-5"/>
      </w:pPr>
      <w:r>
        <w:t>With pointwise evaluation, you evaluate each model independently,</w:t>
      </w:r>
      <w:r>
        <w:rPr>
          <w:sz w:val="18"/>
          <w:vertAlign w:val="superscript"/>
        </w:rPr>
        <w:footnoteReference w:id="22"/>
      </w:r>
      <w:r>
        <w:t xml:space="preserve"> then rank them by their scores. For example, if you want to find out which dancer is the best, you</w:t>
      </w:r>
    </w:p>
    <w:p w14:paraId="399FD81F" w14:textId="77777777" w:rsidR="006C08A6" w:rsidRDefault="006C08A6">
      <w:pPr>
        <w:sectPr w:rsidR="006C08A6">
          <w:footerReference w:type="even" r:id="rId76"/>
          <w:footerReference w:type="default" r:id="rId77"/>
          <w:footerReference w:type="first" r:id="rId78"/>
          <w:pgSz w:w="10080" w:h="13230"/>
          <w:pgMar w:top="1028" w:right="1433" w:bottom="1439" w:left="1396" w:header="720" w:footer="810" w:gutter="0"/>
          <w:cols w:space="720"/>
        </w:sectPr>
      </w:pPr>
    </w:p>
    <w:p w14:paraId="4432EFAF" w14:textId="77777777" w:rsidR="006C08A6" w:rsidRDefault="00000000">
      <w:pPr>
        <w:ind w:left="-5"/>
      </w:pPr>
      <w:r>
        <w:lastRenderedPageBreak/>
        <w:t>evaluate each dancer individually, give them a score, then pick the dancer with the highest score.</w:t>
      </w:r>
    </w:p>
    <w:p w14:paraId="7121DEEB" w14:textId="77777777" w:rsidR="006C08A6" w:rsidRDefault="00000000">
      <w:pPr>
        <w:ind w:left="-5"/>
      </w:pPr>
      <w:r>
        <w:t>With comparative evaluation, you evaluate models against each other and compute a ranking from comparison results. For the same dancing contest, you can ask all candidates to dance side-by-side and ask the judges which candidate’s dancing they like the most, and pick the dancer preferred by most judges.</w:t>
      </w:r>
    </w:p>
    <w:p w14:paraId="3B71CF1D" w14:textId="77777777" w:rsidR="006C08A6" w:rsidRDefault="00000000">
      <w:pPr>
        <w:ind w:left="-5"/>
      </w:pPr>
      <w:r>
        <w:t>For responses whose quality is subjective, comparative evaluation is typically easier to do than pointwise evaluation. For example, it’s easier to tell which song of the two songs is better than to give each song a concrete score.</w:t>
      </w:r>
    </w:p>
    <w:p w14:paraId="18235B30" w14:textId="77777777" w:rsidR="006C08A6" w:rsidRDefault="00000000">
      <w:pPr>
        <w:ind w:left="-5"/>
      </w:pPr>
      <w:r>
        <w:t xml:space="preserve">In AI, comparative evaluation was first used in 2021 by </w:t>
      </w:r>
      <w:r>
        <w:rPr>
          <w:color w:val="990000"/>
        </w:rPr>
        <w:t>Anthropic</w:t>
      </w:r>
      <w:r>
        <w:t xml:space="preserve"> to rank different models. It also powers the popular LMSYS’s </w:t>
      </w:r>
      <w:r>
        <w:rPr>
          <w:color w:val="990000"/>
        </w:rPr>
        <w:t>Chatbot Arena</w:t>
      </w:r>
      <w:r>
        <w:t xml:space="preserve"> leaderboard that ranks models using scores computed from pairwise model comparisons from the community.</w:t>
      </w:r>
    </w:p>
    <w:p w14:paraId="1F6DF723" w14:textId="77777777" w:rsidR="006C08A6" w:rsidRDefault="00000000">
      <w:pPr>
        <w:spacing w:after="0"/>
        <w:ind w:left="-5"/>
      </w:pPr>
      <w:r>
        <w:t xml:space="preserve">Many model providers use comparative evaluation to evaluate their models in production. </w:t>
      </w:r>
      <w:r>
        <w:rPr>
          <w:color w:val="990000"/>
        </w:rPr>
        <w:t>Figure 3-10</w:t>
      </w:r>
      <w:r>
        <w:t xml:space="preserve"> shows an example of ChatGPT asking its users to compare two outputs side by side. These outputs could be generated by different models, or by the same model with different sampling variables.</w:t>
      </w:r>
    </w:p>
    <w:p w14:paraId="58AEC41E" w14:textId="77777777" w:rsidR="006C08A6" w:rsidRDefault="00000000">
      <w:pPr>
        <w:spacing w:after="36" w:line="259" w:lineRule="auto"/>
        <w:ind w:left="1" w:right="-9" w:firstLine="0"/>
        <w:jc w:val="left"/>
      </w:pPr>
      <w:r>
        <w:rPr>
          <w:rFonts w:ascii="Calibri" w:eastAsia="Calibri" w:hAnsi="Calibri" w:cs="Calibri"/>
          <w:noProof/>
          <w:sz w:val="22"/>
        </w:rPr>
        <mc:AlternateContent>
          <mc:Choice Requires="wpg">
            <w:drawing>
              <wp:inline distT="0" distB="0" distL="0" distR="0" wp14:anchorId="006397B3" wp14:editId="07BF61BB">
                <wp:extent cx="4576905" cy="1965598"/>
                <wp:effectExtent l="0" t="0" r="0" b="0"/>
                <wp:docPr id="37742" name="Group 37742"/>
                <wp:cNvGraphicFramePr/>
                <a:graphic xmlns:a="http://schemas.openxmlformats.org/drawingml/2006/main">
                  <a:graphicData uri="http://schemas.microsoft.com/office/word/2010/wordprocessingGroup">
                    <wpg:wgp>
                      <wpg:cNvGrpSpPr/>
                      <wpg:grpSpPr>
                        <a:xfrm>
                          <a:off x="0" y="0"/>
                          <a:ext cx="4576905" cy="1965598"/>
                          <a:chOff x="0" y="0"/>
                          <a:chExt cx="4576905" cy="1965598"/>
                        </a:xfrm>
                      </wpg:grpSpPr>
                      <wps:wsp>
                        <wps:cNvPr id="2804" name="Shape 2804"/>
                        <wps:cNvSpPr/>
                        <wps:spPr>
                          <a:xfrm>
                            <a:off x="0" y="865"/>
                            <a:ext cx="4576905" cy="0"/>
                          </a:xfrm>
                          <a:custGeom>
                            <a:avLst/>
                            <a:gdLst/>
                            <a:ahLst/>
                            <a:cxnLst/>
                            <a:rect l="0" t="0" r="0" b="0"/>
                            <a:pathLst>
                              <a:path w="4576905">
                                <a:moveTo>
                                  <a:pt x="4576905" y="0"/>
                                </a:moveTo>
                                <a:lnTo>
                                  <a:pt x="71"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806" name="Shape 2806"/>
                        <wps:cNvSpPr/>
                        <wps:spPr>
                          <a:xfrm>
                            <a:off x="4576040" y="0"/>
                            <a:ext cx="0" cy="1965598"/>
                          </a:xfrm>
                          <a:custGeom>
                            <a:avLst/>
                            <a:gdLst/>
                            <a:ahLst/>
                            <a:cxnLst/>
                            <a:rect l="0" t="0" r="0" b="0"/>
                            <a:pathLst>
                              <a:path h="1965598">
                                <a:moveTo>
                                  <a:pt x="0" y="1965598"/>
                                </a:moveTo>
                                <a:lnTo>
                                  <a:pt x="0" y="71"/>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808" name="Shape 2808"/>
                        <wps:cNvSpPr/>
                        <wps:spPr>
                          <a:xfrm>
                            <a:off x="0" y="1964733"/>
                            <a:ext cx="4576905" cy="0"/>
                          </a:xfrm>
                          <a:custGeom>
                            <a:avLst/>
                            <a:gdLst/>
                            <a:ahLst/>
                            <a:cxnLst/>
                            <a:rect l="0" t="0" r="0" b="0"/>
                            <a:pathLst>
                              <a:path w="4576905">
                                <a:moveTo>
                                  <a:pt x="4576905" y="0"/>
                                </a:moveTo>
                                <a:lnTo>
                                  <a:pt x="4576834" y="0"/>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2810" name="Shape 2810"/>
                        <wps:cNvSpPr/>
                        <wps:spPr>
                          <a:xfrm>
                            <a:off x="865" y="0"/>
                            <a:ext cx="0" cy="1965598"/>
                          </a:xfrm>
                          <a:custGeom>
                            <a:avLst/>
                            <a:gdLst/>
                            <a:ahLst/>
                            <a:cxnLst/>
                            <a:rect l="0" t="0" r="0" b="0"/>
                            <a:pathLst>
                              <a:path h="1965598">
                                <a:moveTo>
                                  <a:pt x="0" y="1965598"/>
                                </a:moveTo>
                                <a:lnTo>
                                  <a:pt x="0" y="1965527"/>
                                </a:ln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35" name="Picture 2835"/>
                          <pic:cNvPicPr/>
                        </pic:nvPicPr>
                        <pic:blipFill>
                          <a:blip r:embed="rId79"/>
                          <a:stretch>
                            <a:fillRect/>
                          </a:stretch>
                        </pic:blipFill>
                        <pic:spPr>
                          <a:xfrm>
                            <a:off x="93892" y="65953"/>
                            <a:ext cx="4389120" cy="1824422"/>
                          </a:xfrm>
                          <a:prstGeom prst="rect">
                            <a:avLst/>
                          </a:prstGeom>
                        </pic:spPr>
                      </pic:pic>
                    </wpg:wgp>
                  </a:graphicData>
                </a:graphic>
              </wp:inline>
            </w:drawing>
          </mc:Choice>
          <mc:Fallback xmlns:a="http://schemas.openxmlformats.org/drawingml/2006/main">
            <w:pict>
              <v:group id="Group 37742" style="width:360.386pt;height:154.772pt;mso-position-horizontal-relative:char;mso-position-vertical-relative:line" coordsize="45769,19655">
                <v:shape id="Shape 2804" style="position:absolute;width:45769;height:0;left:0;top:8;" coordsize="4576905,0" path="m4576905,0l71,0l0,0">
                  <v:stroke weight="0.25pt" endcap="round" joinstyle="miter" miterlimit="10" on="true" color="#000000"/>
                  <v:fill on="false" color="#000000" opacity="0"/>
                </v:shape>
                <v:shape id="Shape 2806" style="position:absolute;width:0;height:19655;left:45760;top:0;" coordsize="0,1965598" path="m0,1965598l0,71l0,0">
                  <v:stroke weight="0.25pt" endcap="round" joinstyle="miter" miterlimit="10" on="true" color="#000000"/>
                  <v:fill on="false" color="#000000" opacity="0"/>
                </v:shape>
                <v:shape id="Shape 2808" style="position:absolute;width:45769;height:0;left:0;top:19647;" coordsize="4576905,0" path="m4576905,0l4576834,0l0,0">
                  <v:stroke weight="0.25pt" endcap="round" joinstyle="miter" miterlimit="10" on="true" color="#000000"/>
                  <v:fill on="false" color="#000000" opacity="0"/>
                </v:shape>
                <v:shape id="Shape 2810" style="position:absolute;width:0;height:19655;left:8;top:0;" coordsize="0,1965598" path="m0,1965598l0,1965527l0,0">
                  <v:stroke weight="0.25pt" endcap="round" joinstyle="miter" miterlimit="10" on="true" color="#000000"/>
                  <v:fill on="false" color="#000000" opacity="0"/>
                </v:shape>
                <v:shape id="Picture 2835" style="position:absolute;width:43891;height:18244;left:938;top:659;" filled="f">
                  <v:imagedata r:id="rId80"/>
                </v:shape>
              </v:group>
            </w:pict>
          </mc:Fallback>
        </mc:AlternateContent>
      </w:r>
    </w:p>
    <w:p w14:paraId="43A69AE6" w14:textId="77777777" w:rsidR="006C08A6" w:rsidRDefault="00000000">
      <w:pPr>
        <w:spacing w:after="235" w:line="254" w:lineRule="auto"/>
        <w:ind w:left="-5"/>
        <w:jc w:val="left"/>
      </w:pPr>
      <w:r>
        <w:rPr>
          <w:i/>
        </w:rPr>
        <w:t>Figure 3-10. ChatGPT occasionally asks users to compare two outputs side by side.</w:t>
      </w:r>
    </w:p>
    <w:p w14:paraId="699147E3" w14:textId="77777777" w:rsidR="006C08A6" w:rsidRDefault="00000000">
      <w:pPr>
        <w:ind w:left="-5"/>
      </w:pPr>
      <w:r>
        <w:t>For each request, two or more models are selected to respond. An evaluator, which can be human or AI, picks the winner. Many developers allow for ties to avoid a winner being picked at random when drafts are equally good or bad.</w:t>
      </w:r>
    </w:p>
    <w:p w14:paraId="057FC39C" w14:textId="77777777" w:rsidR="006C08A6" w:rsidRDefault="00000000">
      <w:pPr>
        <w:ind w:left="-5"/>
      </w:pPr>
      <w:r>
        <w:t xml:space="preserve">A very important thing to keep in mind is that </w:t>
      </w:r>
      <w:r>
        <w:rPr>
          <w:i/>
        </w:rPr>
        <w:t>not all questions should be answered by preference</w:t>
      </w:r>
      <w:r>
        <w:t>. Many questions should be answered by correctness instead. Imagine asking the model “Is there a link between cell phone radiation and brain tumors?” and the model presents two options, “Yes” and “No”, for you to choose from. Preferencebased voting can lead to wrong signals that, if used to train your model, can result in misaligned behaviors.</w:t>
      </w:r>
    </w:p>
    <w:p w14:paraId="117FD99E" w14:textId="77777777" w:rsidR="006C08A6" w:rsidRDefault="00000000">
      <w:pPr>
        <w:ind w:left="-5"/>
      </w:pPr>
      <w:r>
        <w:lastRenderedPageBreak/>
        <w:t>Asking users to pick can also cause user frustration. Imagine asking the model a math question because you don’t know the answer, and the model gives you two different answers and asks you to pick the one you prefer. If you had known the right answer, you wouldn’t have asked the model in the first place.</w:t>
      </w:r>
    </w:p>
    <w:p w14:paraId="70CC40BC" w14:textId="77777777" w:rsidR="006C08A6" w:rsidRDefault="00000000">
      <w:pPr>
        <w:ind w:left="-5"/>
      </w:pPr>
      <w:r>
        <w:t>When collecting comparative feedback from users, one challenge is to determine what questions can be determined by preference voting and what shouldn’t be. Preference-based voting only works if the voters are knowledgeable in the subject. This approach generally works in applications where AI serves as an intern or assistant, helping users speed up tasks they know how to do—and not where users ask AI to perform tasks they themselves don’t know how to do.</w:t>
      </w:r>
    </w:p>
    <w:p w14:paraId="66DC714B" w14:textId="77777777" w:rsidR="006C08A6" w:rsidRDefault="00000000">
      <w:pPr>
        <w:ind w:left="-5"/>
      </w:pPr>
      <w:r>
        <w:t>Comparative evaluation shouldn’t be confused with A/B testing. In A/B testing, a user sees the output from one candidate model at a time. In comparative evaluation, a user sees outputs from multiple models at the same time.</w:t>
      </w:r>
    </w:p>
    <w:p w14:paraId="31F333F9" w14:textId="77777777" w:rsidR="006C08A6" w:rsidRDefault="00000000">
      <w:pPr>
        <w:spacing w:after="239"/>
        <w:ind w:left="-5"/>
      </w:pPr>
      <w:r>
        <w:t xml:space="preserve">Each comparison is called a </w:t>
      </w:r>
      <w:r>
        <w:rPr>
          <w:i/>
        </w:rPr>
        <w:t>match</w:t>
      </w:r>
      <w:r>
        <w:t xml:space="preserve">. This process results in a series of comparisons, as shown in </w:t>
      </w:r>
      <w:r>
        <w:rPr>
          <w:color w:val="990000"/>
        </w:rPr>
        <w:t>Table 3-5</w:t>
      </w:r>
      <w:r>
        <w:t>.</w:t>
      </w:r>
    </w:p>
    <w:p w14:paraId="5A1D963F" w14:textId="77777777" w:rsidR="006C08A6" w:rsidRDefault="00000000">
      <w:pPr>
        <w:spacing w:after="3" w:line="259" w:lineRule="auto"/>
        <w:ind w:left="-5"/>
        <w:jc w:val="left"/>
      </w:pPr>
      <w:r>
        <w:rPr>
          <w:i/>
          <w:sz w:val="20"/>
        </w:rPr>
        <w:t>Table 3-5. Examples of a history of pairwise model comparisons.</w:t>
      </w:r>
    </w:p>
    <w:tbl>
      <w:tblPr>
        <w:tblStyle w:val="TableGrid"/>
        <w:tblW w:w="2591" w:type="dxa"/>
        <w:tblInd w:w="0" w:type="dxa"/>
        <w:tblCellMar>
          <w:top w:w="7" w:type="dxa"/>
          <w:left w:w="72" w:type="dxa"/>
          <w:bottom w:w="0" w:type="dxa"/>
          <w:right w:w="72" w:type="dxa"/>
        </w:tblCellMar>
        <w:tblLook w:val="04A0" w:firstRow="1" w:lastRow="0" w:firstColumn="1" w:lastColumn="0" w:noHBand="0" w:noVBand="1"/>
      </w:tblPr>
      <w:tblGrid>
        <w:gridCol w:w="621"/>
        <w:gridCol w:w="630"/>
        <w:gridCol w:w="640"/>
        <w:gridCol w:w="700"/>
      </w:tblGrid>
      <w:tr w:rsidR="006C08A6" w14:paraId="4E808F23" w14:textId="77777777">
        <w:trPr>
          <w:trHeight w:val="279"/>
        </w:trPr>
        <w:tc>
          <w:tcPr>
            <w:tcW w:w="621" w:type="dxa"/>
            <w:tcBorders>
              <w:top w:val="nil"/>
              <w:left w:val="nil"/>
              <w:bottom w:val="single" w:sz="2" w:space="0" w:color="181717"/>
              <w:right w:val="nil"/>
            </w:tcBorders>
            <w:shd w:val="clear" w:color="auto" w:fill="000000"/>
          </w:tcPr>
          <w:p w14:paraId="3C19D0F8" w14:textId="77777777" w:rsidR="006C08A6" w:rsidRDefault="00000000">
            <w:pPr>
              <w:spacing w:after="0" w:line="259" w:lineRule="auto"/>
              <w:ind w:left="0" w:firstLine="0"/>
              <w:jc w:val="left"/>
            </w:pPr>
            <w:r>
              <w:rPr>
                <w:rFonts w:ascii="Calibri" w:eastAsia="Calibri" w:hAnsi="Calibri" w:cs="Calibri"/>
                <w:b/>
                <w:color w:val="FFFFFF"/>
                <w:sz w:val="18"/>
              </w:rPr>
              <w:t>Match #</w:t>
            </w:r>
          </w:p>
        </w:tc>
        <w:tc>
          <w:tcPr>
            <w:tcW w:w="630" w:type="dxa"/>
            <w:tcBorders>
              <w:top w:val="nil"/>
              <w:left w:val="nil"/>
              <w:bottom w:val="single" w:sz="2" w:space="0" w:color="181717"/>
              <w:right w:val="nil"/>
            </w:tcBorders>
            <w:shd w:val="clear" w:color="auto" w:fill="000000"/>
          </w:tcPr>
          <w:p w14:paraId="45728B04" w14:textId="77777777" w:rsidR="006C08A6" w:rsidRDefault="00000000">
            <w:pPr>
              <w:spacing w:after="0" w:line="259" w:lineRule="auto"/>
              <w:ind w:left="0" w:firstLine="0"/>
              <w:jc w:val="left"/>
            </w:pPr>
            <w:r>
              <w:rPr>
                <w:rFonts w:ascii="Calibri" w:eastAsia="Calibri" w:hAnsi="Calibri" w:cs="Calibri"/>
                <w:b/>
                <w:color w:val="FFFFFF"/>
                <w:sz w:val="18"/>
              </w:rPr>
              <w:t>Model A</w:t>
            </w:r>
          </w:p>
        </w:tc>
        <w:tc>
          <w:tcPr>
            <w:tcW w:w="670" w:type="dxa"/>
            <w:tcBorders>
              <w:top w:val="nil"/>
              <w:left w:val="nil"/>
              <w:bottom w:val="single" w:sz="2" w:space="0" w:color="181717"/>
              <w:right w:val="nil"/>
            </w:tcBorders>
            <w:shd w:val="clear" w:color="auto" w:fill="000000"/>
          </w:tcPr>
          <w:p w14:paraId="564BF8E3" w14:textId="77777777" w:rsidR="006C08A6" w:rsidRDefault="00000000">
            <w:pPr>
              <w:spacing w:after="0" w:line="259" w:lineRule="auto"/>
              <w:ind w:left="0" w:firstLine="0"/>
              <w:jc w:val="left"/>
            </w:pPr>
            <w:r>
              <w:rPr>
                <w:rFonts w:ascii="Calibri" w:eastAsia="Calibri" w:hAnsi="Calibri" w:cs="Calibri"/>
                <w:b/>
                <w:color w:val="FFFFFF"/>
                <w:sz w:val="18"/>
              </w:rPr>
              <w:t>Model B</w:t>
            </w:r>
          </w:p>
        </w:tc>
        <w:tc>
          <w:tcPr>
            <w:tcW w:w="670" w:type="dxa"/>
            <w:tcBorders>
              <w:top w:val="nil"/>
              <w:left w:val="nil"/>
              <w:bottom w:val="single" w:sz="2" w:space="0" w:color="181717"/>
              <w:right w:val="nil"/>
            </w:tcBorders>
            <w:shd w:val="clear" w:color="auto" w:fill="000000"/>
          </w:tcPr>
          <w:p w14:paraId="3B97ED8A" w14:textId="77777777" w:rsidR="006C08A6" w:rsidRDefault="00000000">
            <w:pPr>
              <w:spacing w:after="0" w:line="259" w:lineRule="auto"/>
              <w:ind w:left="0" w:firstLine="0"/>
              <w:jc w:val="left"/>
            </w:pPr>
            <w:r>
              <w:rPr>
                <w:rFonts w:ascii="Calibri" w:eastAsia="Calibri" w:hAnsi="Calibri" w:cs="Calibri"/>
                <w:b/>
                <w:color w:val="FFFFFF"/>
                <w:sz w:val="18"/>
              </w:rPr>
              <w:t>Winner</w:t>
            </w:r>
          </w:p>
        </w:tc>
      </w:tr>
      <w:tr w:rsidR="006C08A6" w14:paraId="53D3A3CA" w14:textId="77777777">
        <w:trPr>
          <w:trHeight w:val="260"/>
        </w:trPr>
        <w:tc>
          <w:tcPr>
            <w:tcW w:w="621" w:type="dxa"/>
            <w:tcBorders>
              <w:top w:val="single" w:sz="2" w:space="0" w:color="181717"/>
              <w:left w:val="single" w:sz="2" w:space="0" w:color="181717"/>
              <w:bottom w:val="single" w:sz="2" w:space="0" w:color="181717"/>
              <w:right w:val="single" w:sz="2" w:space="0" w:color="181717"/>
            </w:tcBorders>
          </w:tcPr>
          <w:p w14:paraId="350020E9" w14:textId="77777777" w:rsidR="006C08A6" w:rsidRDefault="00000000">
            <w:pPr>
              <w:spacing w:after="0" w:line="259" w:lineRule="auto"/>
              <w:ind w:left="3" w:firstLine="0"/>
              <w:jc w:val="left"/>
            </w:pPr>
            <w:r>
              <w:rPr>
                <w:rFonts w:ascii="Calibri" w:eastAsia="Calibri" w:hAnsi="Calibri" w:cs="Calibri"/>
                <w:sz w:val="18"/>
              </w:rPr>
              <w:t>1</w:t>
            </w:r>
          </w:p>
        </w:tc>
        <w:tc>
          <w:tcPr>
            <w:tcW w:w="630" w:type="dxa"/>
            <w:tcBorders>
              <w:top w:val="single" w:sz="2" w:space="0" w:color="181717"/>
              <w:left w:val="single" w:sz="2" w:space="0" w:color="181717"/>
              <w:bottom w:val="single" w:sz="2" w:space="0" w:color="181717"/>
              <w:right w:val="single" w:sz="2" w:space="0" w:color="181717"/>
            </w:tcBorders>
          </w:tcPr>
          <w:p w14:paraId="60FB5366" w14:textId="77777777" w:rsidR="006C08A6" w:rsidRDefault="00000000">
            <w:pPr>
              <w:spacing w:after="0" w:line="259" w:lineRule="auto"/>
              <w:ind w:left="3" w:firstLine="0"/>
              <w:jc w:val="left"/>
            </w:pPr>
            <w:r>
              <w:rPr>
                <w:rFonts w:ascii="Calibri" w:eastAsia="Calibri" w:hAnsi="Calibri" w:cs="Calibri"/>
                <w:sz w:val="18"/>
              </w:rPr>
              <w:t>Model 1</w:t>
            </w:r>
          </w:p>
        </w:tc>
        <w:tc>
          <w:tcPr>
            <w:tcW w:w="670" w:type="dxa"/>
            <w:tcBorders>
              <w:top w:val="single" w:sz="2" w:space="0" w:color="181717"/>
              <w:left w:val="single" w:sz="2" w:space="0" w:color="181717"/>
              <w:bottom w:val="single" w:sz="2" w:space="0" w:color="181717"/>
              <w:right w:val="single" w:sz="2" w:space="0" w:color="181717"/>
            </w:tcBorders>
          </w:tcPr>
          <w:p w14:paraId="24BB5835" w14:textId="77777777" w:rsidR="006C08A6" w:rsidRDefault="00000000">
            <w:pPr>
              <w:spacing w:after="0" w:line="259" w:lineRule="auto"/>
              <w:ind w:left="3" w:firstLine="0"/>
              <w:jc w:val="left"/>
            </w:pPr>
            <w:r>
              <w:rPr>
                <w:rFonts w:ascii="Calibri" w:eastAsia="Calibri" w:hAnsi="Calibri" w:cs="Calibri"/>
                <w:sz w:val="18"/>
              </w:rPr>
              <w:t>Model 2</w:t>
            </w:r>
          </w:p>
        </w:tc>
        <w:tc>
          <w:tcPr>
            <w:tcW w:w="670" w:type="dxa"/>
            <w:tcBorders>
              <w:top w:val="single" w:sz="2" w:space="0" w:color="181717"/>
              <w:left w:val="single" w:sz="2" w:space="0" w:color="181717"/>
              <w:bottom w:val="single" w:sz="2" w:space="0" w:color="181717"/>
              <w:right w:val="single" w:sz="2" w:space="0" w:color="181717"/>
            </w:tcBorders>
          </w:tcPr>
          <w:p w14:paraId="4233AF2A" w14:textId="77777777" w:rsidR="006C08A6" w:rsidRDefault="00000000">
            <w:pPr>
              <w:spacing w:after="0" w:line="259" w:lineRule="auto"/>
              <w:ind w:left="3" w:firstLine="0"/>
              <w:jc w:val="left"/>
            </w:pPr>
            <w:r>
              <w:rPr>
                <w:rFonts w:ascii="Calibri" w:eastAsia="Calibri" w:hAnsi="Calibri" w:cs="Calibri"/>
                <w:sz w:val="18"/>
              </w:rPr>
              <w:t>Model 1</w:t>
            </w:r>
          </w:p>
        </w:tc>
      </w:tr>
      <w:tr w:rsidR="006C08A6" w14:paraId="25D9C049" w14:textId="77777777">
        <w:trPr>
          <w:trHeight w:val="261"/>
        </w:trPr>
        <w:tc>
          <w:tcPr>
            <w:tcW w:w="621" w:type="dxa"/>
            <w:tcBorders>
              <w:top w:val="single" w:sz="2" w:space="0" w:color="181717"/>
              <w:left w:val="single" w:sz="2" w:space="0" w:color="181717"/>
              <w:bottom w:val="single" w:sz="2" w:space="0" w:color="181717"/>
              <w:right w:val="single" w:sz="2" w:space="0" w:color="181717"/>
            </w:tcBorders>
          </w:tcPr>
          <w:p w14:paraId="793F6BCC" w14:textId="77777777" w:rsidR="006C08A6" w:rsidRDefault="00000000">
            <w:pPr>
              <w:spacing w:after="0" w:line="259" w:lineRule="auto"/>
              <w:ind w:left="3" w:firstLine="0"/>
              <w:jc w:val="left"/>
            </w:pPr>
            <w:r>
              <w:rPr>
                <w:rFonts w:ascii="Calibri" w:eastAsia="Calibri" w:hAnsi="Calibri" w:cs="Calibri"/>
                <w:sz w:val="18"/>
              </w:rPr>
              <w:t>2</w:t>
            </w:r>
          </w:p>
        </w:tc>
        <w:tc>
          <w:tcPr>
            <w:tcW w:w="630" w:type="dxa"/>
            <w:tcBorders>
              <w:top w:val="single" w:sz="2" w:space="0" w:color="181717"/>
              <w:left w:val="single" w:sz="2" w:space="0" w:color="181717"/>
              <w:bottom w:val="single" w:sz="2" w:space="0" w:color="181717"/>
              <w:right w:val="single" w:sz="2" w:space="0" w:color="181717"/>
            </w:tcBorders>
          </w:tcPr>
          <w:p w14:paraId="11177523" w14:textId="77777777" w:rsidR="006C08A6" w:rsidRDefault="00000000">
            <w:pPr>
              <w:spacing w:after="0" w:line="259" w:lineRule="auto"/>
              <w:ind w:left="3" w:firstLine="0"/>
              <w:jc w:val="left"/>
            </w:pPr>
            <w:r>
              <w:rPr>
                <w:rFonts w:ascii="Calibri" w:eastAsia="Calibri" w:hAnsi="Calibri" w:cs="Calibri"/>
                <w:sz w:val="18"/>
              </w:rPr>
              <w:t>Model 3</w:t>
            </w:r>
          </w:p>
        </w:tc>
        <w:tc>
          <w:tcPr>
            <w:tcW w:w="670" w:type="dxa"/>
            <w:tcBorders>
              <w:top w:val="single" w:sz="2" w:space="0" w:color="181717"/>
              <w:left w:val="single" w:sz="2" w:space="0" w:color="181717"/>
              <w:bottom w:val="single" w:sz="2" w:space="0" w:color="181717"/>
              <w:right w:val="single" w:sz="2" w:space="0" w:color="181717"/>
            </w:tcBorders>
          </w:tcPr>
          <w:p w14:paraId="4BF5754A" w14:textId="77777777" w:rsidR="006C08A6" w:rsidRDefault="00000000">
            <w:pPr>
              <w:spacing w:after="0" w:line="259" w:lineRule="auto"/>
              <w:ind w:left="3" w:firstLine="0"/>
              <w:jc w:val="left"/>
            </w:pPr>
            <w:r>
              <w:rPr>
                <w:rFonts w:ascii="Calibri" w:eastAsia="Calibri" w:hAnsi="Calibri" w:cs="Calibri"/>
                <w:sz w:val="18"/>
              </w:rPr>
              <w:t>Model 10</w:t>
            </w:r>
          </w:p>
        </w:tc>
        <w:tc>
          <w:tcPr>
            <w:tcW w:w="670" w:type="dxa"/>
            <w:tcBorders>
              <w:top w:val="single" w:sz="2" w:space="0" w:color="181717"/>
              <w:left w:val="single" w:sz="2" w:space="0" w:color="181717"/>
              <w:bottom w:val="single" w:sz="2" w:space="0" w:color="181717"/>
              <w:right w:val="single" w:sz="2" w:space="0" w:color="181717"/>
            </w:tcBorders>
          </w:tcPr>
          <w:p w14:paraId="22A16CDB" w14:textId="77777777" w:rsidR="006C08A6" w:rsidRDefault="00000000">
            <w:pPr>
              <w:spacing w:after="0" w:line="259" w:lineRule="auto"/>
              <w:ind w:left="3" w:firstLine="0"/>
              <w:jc w:val="left"/>
            </w:pPr>
            <w:r>
              <w:rPr>
                <w:rFonts w:ascii="Calibri" w:eastAsia="Calibri" w:hAnsi="Calibri" w:cs="Calibri"/>
                <w:sz w:val="18"/>
              </w:rPr>
              <w:t>Model 10</w:t>
            </w:r>
          </w:p>
        </w:tc>
      </w:tr>
      <w:tr w:rsidR="006C08A6" w14:paraId="7AD5A945" w14:textId="77777777">
        <w:trPr>
          <w:trHeight w:val="261"/>
        </w:trPr>
        <w:tc>
          <w:tcPr>
            <w:tcW w:w="621" w:type="dxa"/>
            <w:tcBorders>
              <w:top w:val="single" w:sz="2" w:space="0" w:color="181717"/>
              <w:left w:val="single" w:sz="2" w:space="0" w:color="181717"/>
              <w:bottom w:val="single" w:sz="2" w:space="0" w:color="181717"/>
              <w:right w:val="single" w:sz="2" w:space="0" w:color="181717"/>
            </w:tcBorders>
          </w:tcPr>
          <w:p w14:paraId="2DB2893C" w14:textId="77777777" w:rsidR="006C08A6" w:rsidRDefault="00000000">
            <w:pPr>
              <w:spacing w:after="0" w:line="259" w:lineRule="auto"/>
              <w:ind w:left="3" w:firstLine="0"/>
              <w:jc w:val="left"/>
            </w:pPr>
            <w:r>
              <w:rPr>
                <w:rFonts w:ascii="Calibri" w:eastAsia="Calibri" w:hAnsi="Calibri" w:cs="Calibri"/>
                <w:sz w:val="18"/>
              </w:rPr>
              <w:t>3</w:t>
            </w:r>
          </w:p>
        </w:tc>
        <w:tc>
          <w:tcPr>
            <w:tcW w:w="630" w:type="dxa"/>
            <w:tcBorders>
              <w:top w:val="single" w:sz="2" w:space="0" w:color="181717"/>
              <w:left w:val="single" w:sz="2" w:space="0" w:color="181717"/>
              <w:bottom w:val="single" w:sz="2" w:space="0" w:color="181717"/>
              <w:right w:val="single" w:sz="2" w:space="0" w:color="181717"/>
            </w:tcBorders>
          </w:tcPr>
          <w:p w14:paraId="35479F09" w14:textId="77777777" w:rsidR="006C08A6" w:rsidRDefault="00000000">
            <w:pPr>
              <w:spacing w:after="0" w:line="259" w:lineRule="auto"/>
              <w:ind w:left="3" w:firstLine="0"/>
              <w:jc w:val="left"/>
            </w:pPr>
            <w:r>
              <w:rPr>
                <w:rFonts w:ascii="Calibri" w:eastAsia="Calibri" w:hAnsi="Calibri" w:cs="Calibri"/>
                <w:sz w:val="18"/>
              </w:rPr>
              <w:t>Model 7</w:t>
            </w:r>
          </w:p>
        </w:tc>
        <w:tc>
          <w:tcPr>
            <w:tcW w:w="670" w:type="dxa"/>
            <w:tcBorders>
              <w:top w:val="single" w:sz="2" w:space="0" w:color="181717"/>
              <w:left w:val="single" w:sz="2" w:space="0" w:color="181717"/>
              <w:bottom w:val="single" w:sz="2" w:space="0" w:color="181717"/>
              <w:right w:val="single" w:sz="2" w:space="0" w:color="181717"/>
            </w:tcBorders>
          </w:tcPr>
          <w:p w14:paraId="17ACE6C0" w14:textId="77777777" w:rsidR="006C08A6" w:rsidRDefault="00000000">
            <w:pPr>
              <w:spacing w:after="0" w:line="259" w:lineRule="auto"/>
              <w:ind w:left="3" w:firstLine="0"/>
              <w:jc w:val="left"/>
            </w:pPr>
            <w:r>
              <w:rPr>
                <w:rFonts w:ascii="Calibri" w:eastAsia="Calibri" w:hAnsi="Calibri" w:cs="Calibri"/>
                <w:sz w:val="18"/>
              </w:rPr>
              <w:t>Model 4</w:t>
            </w:r>
          </w:p>
        </w:tc>
        <w:tc>
          <w:tcPr>
            <w:tcW w:w="670" w:type="dxa"/>
            <w:tcBorders>
              <w:top w:val="single" w:sz="2" w:space="0" w:color="181717"/>
              <w:left w:val="single" w:sz="2" w:space="0" w:color="181717"/>
              <w:bottom w:val="single" w:sz="2" w:space="0" w:color="181717"/>
              <w:right w:val="single" w:sz="2" w:space="0" w:color="181717"/>
            </w:tcBorders>
          </w:tcPr>
          <w:p w14:paraId="5F1D1C5B" w14:textId="77777777" w:rsidR="006C08A6" w:rsidRDefault="00000000">
            <w:pPr>
              <w:spacing w:after="0" w:line="259" w:lineRule="auto"/>
              <w:ind w:left="3" w:firstLine="0"/>
              <w:jc w:val="left"/>
            </w:pPr>
            <w:r>
              <w:rPr>
                <w:rFonts w:ascii="Calibri" w:eastAsia="Calibri" w:hAnsi="Calibri" w:cs="Calibri"/>
                <w:sz w:val="18"/>
              </w:rPr>
              <w:t>Model 4</w:t>
            </w:r>
          </w:p>
        </w:tc>
      </w:tr>
      <w:tr w:rsidR="006C08A6" w14:paraId="0B184290" w14:textId="77777777">
        <w:trPr>
          <w:trHeight w:val="261"/>
        </w:trPr>
        <w:tc>
          <w:tcPr>
            <w:tcW w:w="621" w:type="dxa"/>
            <w:tcBorders>
              <w:top w:val="single" w:sz="2" w:space="0" w:color="181717"/>
              <w:left w:val="single" w:sz="2" w:space="0" w:color="181717"/>
              <w:bottom w:val="single" w:sz="2" w:space="0" w:color="181717"/>
              <w:right w:val="single" w:sz="2" w:space="0" w:color="181717"/>
            </w:tcBorders>
          </w:tcPr>
          <w:p w14:paraId="71CBB094" w14:textId="77777777" w:rsidR="006C08A6" w:rsidRDefault="00000000">
            <w:pPr>
              <w:spacing w:after="0" w:line="259" w:lineRule="auto"/>
              <w:ind w:left="3" w:firstLine="0"/>
              <w:jc w:val="left"/>
            </w:pPr>
            <w:r>
              <w:rPr>
                <w:rFonts w:ascii="Calibri" w:eastAsia="Calibri" w:hAnsi="Calibri" w:cs="Calibri"/>
                <w:sz w:val="18"/>
              </w:rPr>
              <w:t>…</w:t>
            </w:r>
          </w:p>
        </w:tc>
        <w:tc>
          <w:tcPr>
            <w:tcW w:w="630" w:type="dxa"/>
            <w:tcBorders>
              <w:top w:val="single" w:sz="2" w:space="0" w:color="181717"/>
              <w:left w:val="single" w:sz="2" w:space="0" w:color="181717"/>
              <w:bottom w:val="single" w:sz="2" w:space="0" w:color="181717"/>
              <w:right w:val="single" w:sz="2" w:space="0" w:color="181717"/>
            </w:tcBorders>
          </w:tcPr>
          <w:p w14:paraId="2E4208FD" w14:textId="77777777" w:rsidR="006C08A6" w:rsidRDefault="006C08A6">
            <w:pPr>
              <w:spacing w:after="160" w:line="259" w:lineRule="auto"/>
              <w:ind w:left="0" w:firstLine="0"/>
              <w:jc w:val="left"/>
            </w:pPr>
          </w:p>
        </w:tc>
        <w:tc>
          <w:tcPr>
            <w:tcW w:w="670" w:type="dxa"/>
            <w:tcBorders>
              <w:top w:val="single" w:sz="2" w:space="0" w:color="181717"/>
              <w:left w:val="single" w:sz="2" w:space="0" w:color="181717"/>
              <w:bottom w:val="single" w:sz="2" w:space="0" w:color="181717"/>
              <w:right w:val="single" w:sz="2" w:space="0" w:color="181717"/>
            </w:tcBorders>
          </w:tcPr>
          <w:p w14:paraId="365FA90D" w14:textId="77777777" w:rsidR="006C08A6" w:rsidRDefault="006C08A6">
            <w:pPr>
              <w:spacing w:after="160" w:line="259" w:lineRule="auto"/>
              <w:ind w:left="0" w:firstLine="0"/>
              <w:jc w:val="left"/>
            </w:pPr>
          </w:p>
        </w:tc>
        <w:tc>
          <w:tcPr>
            <w:tcW w:w="670" w:type="dxa"/>
            <w:tcBorders>
              <w:top w:val="single" w:sz="2" w:space="0" w:color="181717"/>
              <w:left w:val="single" w:sz="2" w:space="0" w:color="181717"/>
              <w:bottom w:val="single" w:sz="2" w:space="0" w:color="181717"/>
              <w:right w:val="single" w:sz="2" w:space="0" w:color="181717"/>
            </w:tcBorders>
          </w:tcPr>
          <w:p w14:paraId="0EE53B15" w14:textId="77777777" w:rsidR="006C08A6" w:rsidRDefault="006C08A6">
            <w:pPr>
              <w:spacing w:after="160" w:line="259" w:lineRule="auto"/>
              <w:ind w:left="0" w:firstLine="0"/>
              <w:jc w:val="left"/>
            </w:pPr>
          </w:p>
        </w:tc>
      </w:tr>
    </w:tbl>
    <w:p w14:paraId="3CBE4F0D" w14:textId="77777777" w:rsidR="006C08A6" w:rsidRDefault="00000000">
      <w:pPr>
        <w:ind w:left="-5"/>
      </w:pPr>
      <w:r>
        <w:t xml:space="preserve">The probability that model A is preferred over model B is the </w:t>
      </w:r>
      <w:r>
        <w:rPr>
          <w:i/>
        </w:rPr>
        <w:t>win rate</w:t>
      </w:r>
      <w:r>
        <w:t xml:space="preserve"> of A over B. We can compute this win rate by looking at all matches between A and B and calculating the percentage in which A wins.</w:t>
      </w:r>
    </w:p>
    <w:p w14:paraId="6BEB7D29" w14:textId="77777777" w:rsidR="006C08A6" w:rsidRDefault="00000000">
      <w:pPr>
        <w:ind w:left="-5"/>
      </w:pPr>
      <w:r>
        <w:t xml:space="preserve">If there are only two models, ranking them is straightforward. The model that wins more often ranks higher. The more models there are, the more challenging ranking becomes. Let’s say that we have five models with the empirical win rates between model pairs, as shown in </w:t>
      </w:r>
      <w:r>
        <w:rPr>
          <w:color w:val="990000"/>
        </w:rPr>
        <w:t>Table 3-6</w:t>
      </w:r>
      <w:r>
        <w:t>. It’s not obvious, from looking at the data, how these five models should be ranked.</w:t>
      </w:r>
    </w:p>
    <w:p w14:paraId="442D8D1F" w14:textId="77777777" w:rsidR="006C08A6" w:rsidRDefault="00000000">
      <w:pPr>
        <w:spacing w:after="3" w:line="259" w:lineRule="auto"/>
        <w:ind w:left="-5"/>
        <w:jc w:val="left"/>
      </w:pPr>
      <w:r>
        <w:rPr>
          <w:i/>
          <w:sz w:val="20"/>
        </w:rPr>
        <w:t>Table 3-6. Example win rates of five models. The A &gt;&gt; B column denotes the event that A is preferred to B.</w:t>
      </w:r>
    </w:p>
    <w:tbl>
      <w:tblPr>
        <w:tblStyle w:val="TableGrid"/>
        <w:tblW w:w="3494" w:type="dxa"/>
        <w:tblInd w:w="44" w:type="dxa"/>
        <w:tblCellMar>
          <w:top w:w="7" w:type="dxa"/>
          <w:left w:w="72" w:type="dxa"/>
          <w:bottom w:w="0" w:type="dxa"/>
          <w:right w:w="72" w:type="dxa"/>
        </w:tblCellMar>
        <w:tblLook w:val="04A0" w:firstRow="1" w:lastRow="0" w:firstColumn="1" w:lastColumn="0" w:noHBand="0" w:noVBand="1"/>
      </w:tblPr>
      <w:tblGrid>
        <w:gridCol w:w="890"/>
        <w:gridCol w:w="630"/>
        <w:gridCol w:w="631"/>
        <w:gridCol w:w="753"/>
        <w:gridCol w:w="590"/>
      </w:tblGrid>
      <w:tr w:rsidR="006C08A6" w14:paraId="679AF2AA" w14:textId="77777777">
        <w:trPr>
          <w:trHeight w:val="279"/>
        </w:trPr>
        <w:tc>
          <w:tcPr>
            <w:tcW w:w="3494" w:type="dxa"/>
            <w:gridSpan w:val="5"/>
            <w:tcBorders>
              <w:top w:val="nil"/>
              <w:left w:val="nil"/>
              <w:bottom w:val="single" w:sz="2" w:space="0" w:color="181717"/>
              <w:right w:val="nil"/>
            </w:tcBorders>
            <w:shd w:val="clear" w:color="auto" w:fill="000000"/>
          </w:tcPr>
          <w:p w14:paraId="228BC896" w14:textId="77777777" w:rsidR="006C08A6" w:rsidRDefault="00000000">
            <w:pPr>
              <w:tabs>
                <w:tab w:val="center" w:pos="1134"/>
                <w:tab w:val="center" w:pos="1764"/>
                <w:tab w:val="center" w:pos="2456"/>
                <w:tab w:val="right" w:pos="3350"/>
              </w:tabs>
              <w:spacing w:after="0" w:line="259" w:lineRule="auto"/>
              <w:ind w:left="0" w:firstLine="0"/>
              <w:jc w:val="left"/>
            </w:pPr>
            <w:r>
              <w:rPr>
                <w:rFonts w:ascii="Calibri" w:eastAsia="Calibri" w:hAnsi="Calibri" w:cs="Calibri"/>
                <w:b/>
                <w:color w:val="FFFFFF"/>
                <w:sz w:val="18"/>
              </w:rPr>
              <w:t>Model pair #</w:t>
            </w:r>
            <w:r>
              <w:rPr>
                <w:rFonts w:ascii="Calibri" w:eastAsia="Calibri" w:hAnsi="Calibri" w:cs="Calibri"/>
                <w:b/>
                <w:color w:val="FFFFFF"/>
                <w:sz w:val="18"/>
              </w:rPr>
              <w:tab/>
              <w:t>Model A</w:t>
            </w:r>
            <w:r>
              <w:rPr>
                <w:rFonts w:ascii="Calibri" w:eastAsia="Calibri" w:hAnsi="Calibri" w:cs="Calibri"/>
                <w:b/>
                <w:color w:val="FFFFFF"/>
                <w:sz w:val="18"/>
              </w:rPr>
              <w:tab/>
              <w:t>Model B</w:t>
            </w:r>
            <w:r>
              <w:rPr>
                <w:rFonts w:ascii="Calibri" w:eastAsia="Calibri" w:hAnsi="Calibri" w:cs="Calibri"/>
                <w:b/>
                <w:color w:val="FFFFFF"/>
                <w:sz w:val="18"/>
              </w:rPr>
              <w:tab/>
              <w:t># matches</w:t>
            </w:r>
            <w:r>
              <w:rPr>
                <w:rFonts w:ascii="Calibri" w:eastAsia="Calibri" w:hAnsi="Calibri" w:cs="Calibri"/>
                <w:b/>
                <w:color w:val="FFFFFF"/>
                <w:sz w:val="18"/>
              </w:rPr>
              <w:tab/>
              <w:t>A &gt;&gt; B</w:t>
            </w:r>
          </w:p>
        </w:tc>
      </w:tr>
      <w:tr w:rsidR="006C08A6" w14:paraId="73F55282" w14:textId="77777777">
        <w:trPr>
          <w:trHeight w:val="260"/>
        </w:trPr>
        <w:tc>
          <w:tcPr>
            <w:tcW w:w="891" w:type="dxa"/>
            <w:tcBorders>
              <w:top w:val="single" w:sz="2" w:space="0" w:color="181717"/>
              <w:left w:val="single" w:sz="2" w:space="0" w:color="181717"/>
              <w:bottom w:val="single" w:sz="2" w:space="0" w:color="181717"/>
              <w:right w:val="single" w:sz="2" w:space="0" w:color="181717"/>
            </w:tcBorders>
          </w:tcPr>
          <w:p w14:paraId="3E5C4B3C" w14:textId="77777777" w:rsidR="006C08A6" w:rsidRDefault="00000000">
            <w:pPr>
              <w:spacing w:after="0" w:line="259" w:lineRule="auto"/>
              <w:ind w:left="3" w:firstLine="0"/>
              <w:jc w:val="left"/>
            </w:pPr>
            <w:r>
              <w:rPr>
                <w:rFonts w:ascii="Calibri" w:eastAsia="Calibri" w:hAnsi="Calibri" w:cs="Calibri"/>
                <w:sz w:val="18"/>
              </w:rPr>
              <w:t>1</w:t>
            </w:r>
          </w:p>
        </w:tc>
        <w:tc>
          <w:tcPr>
            <w:tcW w:w="630" w:type="dxa"/>
            <w:tcBorders>
              <w:top w:val="single" w:sz="2" w:space="0" w:color="181717"/>
              <w:left w:val="single" w:sz="2" w:space="0" w:color="181717"/>
              <w:bottom w:val="single" w:sz="2" w:space="0" w:color="181717"/>
              <w:right w:val="single" w:sz="2" w:space="0" w:color="181717"/>
            </w:tcBorders>
          </w:tcPr>
          <w:p w14:paraId="75BF10B7" w14:textId="77777777" w:rsidR="006C08A6" w:rsidRDefault="00000000">
            <w:pPr>
              <w:spacing w:after="0" w:line="259" w:lineRule="auto"/>
              <w:ind w:left="2" w:firstLine="0"/>
              <w:jc w:val="left"/>
            </w:pPr>
            <w:r>
              <w:rPr>
                <w:rFonts w:ascii="Calibri" w:eastAsia="Calibri" w:hAnsi="Calibri" w:cs="Calibri"/>
                <w:sz w:val="18"/>
              </w:rPr>
              <w:t>Model 1</w:t>
            </w:r>
          </w:p>
        </w:tc>
        <w:tc>
          <w:tcPr>
            <w:tcW w:w="631" w:type="dxa"/>
            <w:tcBorders>
              <w:top w:val="single" w:sz="2" w:space="0" w:color="181717"/>
              <w:left w:val="single" w:sz="2" w:space="0" w:color="181717"/>
              <w:bottom w:val="single" w:sz="2" w:space="0" w:color="181717"/>
              <w:right w:val="single" w:sz="2" w:space="0" w:color="181717"/>
            </w:tcBorders>
          </w:tcPr>
          <w:p w14:paraId="3DF1271B" w14:textId="77777777" w:rsidR="006C08A6" w:rsidRDefault="00000000">
            <w:pPr>
              <w:spacing w:after="0" w:line="259" w:lineRule="auto"/>
              <w:ind w:left="2" w:firstLine="0"/>
              <w:jc w:val="left"/>
            </w:pPr>
            <w:r>
              <w:rPr>
                <w:rFonts w:ascii="Calibri" w:eastAsia="Calibri" w:hAnsi="Calibri" w:cs="Calibri"/>
                <w:sz w:val="18"/>
              </w:rPr>
              <w:t>Model 2</w:t>
            </w:r>
          </w:p>
        </w:tc>
        <w:tc>
          <w:tcPr>
            <w:tcW w:w="753" w:type="dxa"/>
            <w:tcBorders>
              <w:top w:val="single" w:sz="2" w:space="0" w:color="181717"/>
              <w:left w:val="single" w:sz="2" w:space="0" w:color="181717"/>
              <w:bottom w:val="single" w:sz="2" w:space="0" w:color="181717"/>
              <w:right w:val="single" w:sz="2" w:space="0" w:color="181717"/>
            </w:tcBorders>
          </w:tcPr>
          <w:p w14:paraId="6775FC91" w14:textId="77777777" w:rsidR="006C08A6" w:rsidRDefault="00000000">
            <w:pPr>
              <w:spacing w:after="0" w:line="259" w:lineRule="auto"/>
              <w:ind w:left="2" w:firstLine="0"/>
              <w:jc w:val="left"/>
            </w:pPr>
            <w:r>
              <w:rPr>
                <w:rFonts w:ascii="Calibri" w:eastAsia="Calibri" w:hAnsi="Calibri" w:cs="Calibri"/>
                <w:sz w:val="18"/>
              </w:rPr>
              <w:t>1000</w:t>
            </w:r>
          </w:p>
        </w:tc>
        <w:tc>
          <w:tcPr>
            <w:tcW w:w="590" w:type="dxa"/>
            <w:tcBorders>
              <w:top w:val="single" w:sz="2" w:space="0" w:color="181717"/>
              <w:left w:val="single" w:sz="2" w:space="0" w:color="181717"/>
              <w:bottom w:val="single" w:sz="2" w:space="0" w:color="181717"/>
              <w:right w:val="single" w:sz="2" w:space="0" w:color="181717"/>
            </w:tcBorders>
          </w:tcPr>
          <w:p w14:paraId="346724A3" w14:textId="77777777" w:rsidR="006C08A6" w:rsidRDefault="00000000">
            <w:pPr>
              <w:spacing w:after="0" w:line="259" w:lineRule="auto"/>
              <w:ind w:left="2" w:firstLine="0"/>
              <w:jc w:val="left"/>
            </w:pPr>
            <w:r>
              <w:rPr>
                <w:rFonts w:ascii="Calibri" w:eastAsia="Calibri" w:hAnsi="Calibri" w:cs="Calibri"/>
                <w:sz w:val="18"/>
              </w:rPr>
              <w:t>90%</w:t>
            </w:r>
          </w:p>
        </w:tc>
      </w:tr>
      <w:tr w:rsidR="006C08A6" w14:paraId="7FCCBB00" w14:textId="77777777">
        <w:trPr>
          <w:trHeight w:val="261"/>
        </w:trPr>
        <w:tc>
          <w:tcPr>
            <w:tcW w:w="891" w:type="dxa"/>
            <w:tcBorders>
              <w:top w:val="single" w:sz="2" w:space="0" w:color="181717"/>
              <w:left w:val="single" w:sz="2" w:space="0" w:color="181717"/>
              <w:bottom w:val="single" w:sz="2" w:space="0" w:color="181717"/>
              <w:right w:val="single" w:sz="2" w:space="0" w:color="181717"/>
            </w:tcBorders>
          </w:tcPr>
          <w:p w14:paraId="256B4881" w14:textId="77777777" w:rsidR="006C08A6" w:rsidRDefault="00000000">
            <w:pPr>
              <w:spacing w:after="0" w:line="259" w:lineRule="auto"/>
              <w:ind w:left="2" w:firstLine="0"/>
              <w:jc w:val="left"/>
            </w:pPr>
            <w:r>
              <w:rPr>
                <w:rFonts w:ascii="Calibri" w:eastAsia="Calibri" w:hAnsi="Calibri" w:cs="Calibri"/>
                <w:sz w:val="18"/>
              </w:rPr>
              <w:lastRenderedPageBreak/>
              <w:t>2</w:t>
            </w:r>
          </w:p>
        </w:tc>
        <w:tc>
          <w:tcPr>
            <w:tcW w:w="630" w:type="dxa"/>
            <w:tcBorders>
              <w:top w:val="single" w:sz="2" w:space="0" w:color="181717"/>
              <w:left w:val="single" w:sz="2" w:space="0" w:color="181717"/>
              <w:bottom w:val="single" w:sz="2" w:space="0" w:color="181717"/>
              <w:right w:val="single" w:sz="2" w:space="0" w:color="181717"/>
            </w:tcBorders>
          </w:tcPr>
          <w:p w14:paraId="1FC93955" w14:textId="77777777" w:rsidR="006C08A6" w:rsidRDefault="00000000">
            <w:pPr>
              <w:spacing w:after="0" w:line="259" w:lineRule="auto"/>
              <w:ind w:left="2" w:firstLine="0"/>
              <w:jc w:val="left"/>
            </w:pPr>
            <w:r>
              <w:rPr>
                <w:rFonts w:ascii="Calibri" w:eastAsia="Calibri" w:hAnsi="Calibri" w:cs="Calibri"/>
                <w:sz w:val="18"/>
              </w:rPr>
              <w:t>Model 1</w:t>
            </w:r>
          </w:p>
        </w:tc>
        <w:tc>
          <w:tcPr>
            <w:tcW w:w="631" w:type="dxa"/>
            <w:tcBorders>
              <w:top w:val="single" w:sz="2" w:space="0" w:color="181717"/>
              <w:left w:val="single" w:sz="2" w:space="0" w:color="181717"/>
              <w:bottom w:val="single" w:sz="2" w:space="0" w:color="181717"/>
              <w:right w:val="single" w:sz="2" w:space="0" w:color="181717"/>
            </w:tcBorders>
          </w:tcPr>
          <w:p w14:paraId="05A93BC3" w14:textId="77777777" w:rsidR="006C08A6" w:rsidRDefault="00000000">
            <w:pPr>
              <w:spacing w:after="0" w:line="259" w:lineRule="auto"/>
              <w:ind w:left="2" w:firstLine="0"/>
              <w:jc w:val="left"/>
            </w:pPr>
            <w:r>
              <w:rPr>
                <w:rFonts w:ascii="Calibri" w:eastAsia="Calibri" w:hAnsi="Calibri" w:cs="Calibri"/>
                <w:sz w:val="18"/>
              </w:rPr>
              <w:t>Model 3</w:t>
            </w:r>
          </w:p>
        </w:tc>
        <w:tc>
          <w:tcPr>
            <w:tcW w:w="753" w:type="dxa"/>
            <w:tcBorders>
              <w:top w:val="single" w:sz="2" w:space="0" w:color="181717"/>
              <w:left w:val="single" w:sz="2" w:space="0" w:color="181717"/>
              <w:bottom w:val="single" w:sz="2" w:space="0" w:color="181717"/>
              <w:right w:val="single" w:sz="2" w:space="0" w:color="181717"/>
            </w:tcBorders>
          </w:tcPr>
          <w:p w14:paraId="48665F10" w14:textId="77777777" w:rsidR="006C08A6" w:rsidRDefault="00000000">
            <w:pPr>
              <w:spacing w:after="0" w:line="259" w:lineRule="auto"/>
              <w:ind w:left="2" w:firstLine="0"/>
              <w:jc w:val="left"/>
            </w:pPr>
            <w:r>
              <w:rPr>
                <w:rFonts w:ascii="Calibri" w:eastAsia="Calibri" w:hAnsi="Calibri" w:cs="Calibri"/>
                <w:sz w:val="18"/>
              </w:rPr>
              <w:t>1000</w:t>
            </w:r>
          </w:p>
        </w:tc>
        <w:tc>
          <w:tcPr>
            <w:tcW w:w="590" w:type="dxa"/>
            <w:tcBorders>
              <w:top w:val="single" w:sz="2" w:space="0" w:color="181717"/>
              <w:left w:val="single" w:sz="2" w:space="0" w:color="181717"/>
              <w:bottom w:val="single" w:sz="2" w:space="0" w:color="181717"/>
              <w:right w:val="single" w:sz="2" w:space="0" w:color="181717"/>
            </w:tcBorders>
          </w:tcPr>
          <w:p w14:paraId="1A59BDA2" w14:textId="77777777" w:rsidR="006C08A6" w:rsidRDefault="00000000">
            <w:pPr>
              <w:spacing w:after="0" w:line="259" w:lineRule="auto"/>
              <w:ind w:left="2" w:firstLine="0"/>
              <w:jc w:val="left"/>
            </w:pPr>
            <w:r>
              <w:rPr>
                <w:rFonts w:ascii="Calibri" w:eastAsia="Calibri" w:hAnsi="Calibri" w:cs="Calibri"/>
                <w:sz w:val="18"/>
              </w:rPr>
              <w:t>40%</w:t>
            </w:r>
          </w:p>
        </w:tc>
      </w:tr>
      <w:tr w:rsidR="006C08A6" w14:paraId="34526B33" w14:textId="77777777">
        <w:trPr>
          <w:trHeight w:val="261"/>
        </w:trPr>
        <w:tc>
          <w:tcPr>
            <w:tcW w:w="891" w:type="dxa"/>
            <w:tcBorders>
              <w:top w:val="single" w:sz="2" w:space="0" w:color="181717"/>
              <w:left w:val="single" w:sz="2" w:space="0" w:color="181717"/>
              <w:bottom w:val="single" w:sz="2" w:space="0" w:color="181717"/>
              <w:right w:val="single" w:sz="2" w:space="0" w:color="181717"/>
            </w:tcBorders>
          </w:tcPr>
          <w:p w14:paraId="6C2EF651" w14:textId="77777777" w:rsidR="006C08A6" w:rsidRDefault="00000000">
            <w:pPr>
              <w:spacing w:after="0" w:line="259" w:lineRule="auto"/>
              <w:ind w:left="2" w:firstLine="0"/>
              <w:jc w:val="left"/>
            </w:pPr>
            <w:r>
              <w:rPr>
                <w:rFonts w:ascii="Calibri" w:eastAsia="Calibri" w:hAnsi="Calibri" w:cs="Calibri"/>
                <w:sz w:val="18"/>
              </w:rPr>
              <w:t>3</w:t>
            </w:r>
          </w:p>
        </w:tc>
        <w:tc>
          <w:tcPr>
            <w:tcW w:w="630" w:type="dxa"/>
            <w:tcBorders>
              <w:top w:val="single" w:sz="2" w:space="0" w:color="181717"/>
              <w:left w:val="single" w:sz="2" w:space="0" w:color="181717"/>
              <w:bottom w:val="single" w:sz="2" w:space="0" w:color="181717"/>
              <w:right w:val="single" w:sz="2" w:space="0" w:color="181717"/>
            </w:tcBorders>
          </w:tcPr>
          <w:p w14:paraId="60AC836D" w14:textId="77777777" w:rsidR="006C08A6" w:rsidRDefault="00000000">
            <w:pPr>
              <w:spacing w:after="0" w:line="259" w:lineRule="auto"/>
              <w:ind w:left="2" w:firstLine="0"/>
              <w:jc w:val="left"/>
            </w:pPr>
            <w:r>
              <w:rPr>
                <w:rFonts w:ascii="Calibri" w:eastAsia="Calibri" w:hAnsi="Calibri" w:cs="Calibri"/>
                <w:sz w:val="18"/>
              </w:rPr>
              <w:t>Model 1</w:t>
            </w:r>
          </w:p>
        </w:tc>
        <w:tc>
          <w:tcPr>
            <w:tcW w:w="631" w:type="dxa"/>
            <w:tcBorders>
              <w:top w:val="single" w:sz="2" w:space="0" w:color="181717"/>
              <w:left w:val="single" w:sz="2" w:space="0" w:color="181717"/>
              <w:bottom w:val="single" w:sz="2" w:space="0" w:color="181717"/>
              <w:right w:val="single" w:sz="2" w:space="0" w:color="181717"/>
            </w:tcBorders>
          </w:tcPr>
          <w:p w14:paraId="553ACC21" w14:textId="77777777" w:rsidR="006C08A6" w:rsidRDefault="00000000">
            <w:pPr>
              <w:spacing w:after="0" w:line="259" w:lineRule="auto"/>
              <w:ind w:left="2" w:firstLine="0"/>
              <w:jc w:val="left"/>
            </w:pPr>
            <w:r>
              <w:rPr>
                <w:rFonts w:ascii="Calibri" w:eastAsia="Calibri" w:hAnsi="Calibri" w:cs="Calibri"/>
                <w:sz w:val="18"/>
              </w:rPr>
              <w:t>Model 4</w:t>
            </w:r>
          </w:p>
        </w:tc>
        <w:tc>
          <w:tcPr>
            <w:tcW w:w="753" w:type="dxa"/>
            <w:tcBorders>
              <w:top w:val="single" w:sz="2" w:space="0" w:color="181717"/>
              <w:left w:val="single" w:sz="2" w:space="0" w:color="181717"/>
              <w:bottom w:val="single" w:sz="2" w:space="0" w:color="181717"/>
              <w:right w:val="single" w:sz="2" w:space="0" w:color="181717"/>
            </w:tcBorders>
          </w:tcPr>
          <w:p w14:paraId="4BB5FE88" w14:textId="77777777" w:rsidR="006C08A6" w:rsidRDefault="00000000">
            <w:pPr>
              <w:spacing w:after="0" w:line="259" w:lineRule="auto"/>
              <w:ind w:left="2" w:firstLine="0"/>
              <w:jc w:val="left"/>
            </w:pPr>
            <w:r>
              <w:rPr>
                <w:rFonts w:ascii="Calibri" w:eastAsia="Calibri" w:hAnsi="Calibri" w:cs="Calibri"/>
                <w:sz w:val="18"/>
              </w:rPr>
              <w:t>1000</w:t>
            </w:r>
          </w:p>
        </w:tc>
        <w:tc>
          <w:tcPr>
            <w:tcW w:w="590" w:type="dxa"/>
            <w:tcBorders>
              <w:top w:val="single" w:sz="2" w:space="0" w:color="181717"/>
              <w:left w:val="single" w:sz="2" w:space="0" w:color="181717"/>
              <w:bottom w:val="single" w:sz="2" w:space="0" w:color="181717"/>
              <w:right w:val="single" w:sz="2" w:space="0" w:color="181717"/>
            </w:tcBorders>
          </w:tcPr>
          <w:p w14:paraId="1FF27A81" w14:textId="77777777" w:rsidR="006C08A6" w:rsidRDefault="00000000">
            <w:pPr>
              <w:spacing w:after="0" w:line="259" w:lineRule="auto"/>
              <w:ind w:left="2" w:firstLine="0"/>
              <w:jc w:val="left"/>
            </w:pPr>
            <w:r>
              <w:rPr>
                <w:rFonts w:ascii="Calibri" w:eastAsia="Calibri" w:hAnsi="Calibri" w:cs="Calibri"/>
                <w:sz w:val="18"/>
              </w:rPr>
              <w:t>15%</w:t>
            </w:r>
          </w:p>
        </w:tc>
      </w:tr>
      <w:tr w:rsidR="006C08A6" w14:paraId="21B46D92" w14:textId="77777777">
        <w:trPr>
          <w:trHeight w:val="261"/>
        </w:trPr>
        <w:tc>
          <w:tcPr>
            <w:tcW w:w="891" w:type="dxa"/>
            <w:tcBorders>
              <w:top w:val="single" w:sz="2" w:space="0" w:color="181717"/>
              <w:left w:val="single" w:sz="2" w:space="0" w:color="181717"/>
              <w:bottom w:val="single" w:sz="2" w:space="0" w:color="181717"/>
              <w:right w:val="single" w:sz="2" w:space="0" w:color="181717"/>
            </w:tcBorders>
          </w:tcPr>
          <w:p w14:paraId="58E7502E" w14:textId="77777777" w:rsidR="006C08A6" w:rsidRDefault="00000000">
            <w:pPr>
              <w:spacing w:after="0" w:line="259" w:lineRule="auto"/>
              <w:ind w:left="2" w:firstLine="0"/>
              <w:jc w:val="left"/>
            </w:pPr>
            <w:r>
              <w:rPr>
                <w:rFonts w:ascii="Calibri" w:eastAsia="Calibri" w:hAnsi="Calibri" w:cs="Calibri"/>
                <w:sz w:val="18"/>
              </w:rPr>
              <w:t>4</w:t>
            </w:r>
          </w:p>
        </w:tc>
        <w:tc>
          <w:tcPr>
            <w:tcW w:w="630" w:type="dxa"/>
            <w:tcBorders>
              <w:top w:val="single" w:sz="2" w:space="0" w:color="181717"/>
              <w:left w:val="single" w:sz="2" w:space="0" w:color="181717"/>
              <w:bottom w:val="single" w:sz="2" w:space="0" w:color="181717"/>
              <w:right w:val="single" w:sz="2" w:space="0" w:color="181717"/>
            </w:tcBorders>
          </w:tcPr>
          <w:p w14:paraId="3CFBC795" w14:textId="77777777" w:rsidR="006C08A6" w:rsidRDefault="00000000">
            <w:pPr>
              <w:spacing w:after="0" w:line="259" w:lineRule="auto"/>
              <w:ind w:left="2" w:firstLine="0"/>
              <w:jc w:val="left"/>
            </w:pPr>
            <w:r>
              <w:rPr>
                <w:rFonts w:ascii="Calibri" w:eastAsia="Calibri" w:hAnsi="Calibri" w:cs="Calibri"/>
                <w:sz w:val="18"/>
              </w:rPr>
              <w:t>Model 1</w:t>
            </w:r>
          </w:p>
        </w:tc>
        <w:tc>
          <w:tcPr>
            <w:tcW w:w="631" w:type="dxa"/>
            <w:tcBorders>
              <w:top w:val="single" w:sz="2" w:space="0" w:color="181717"/>
              <w:left w:val="single" w:sz="2" w:space="0" w:color="181717"/>
              <w:bottom w:val="single" w:sz="2" w:space="0" w:color="181717"/>
              <w:right w:val="single" w:sz="2" w:space="0" w:color="181717"/>
            </w:tcBorders>
          </w:tcPr>
          <w:p w14:paraId="222474ED" w14:textId="77777777" w:rsidR="006C08A6" w:rsidRDefault="00000000">
            <w:pPr>
              <w:spacing w:after="0" w:line="259" w:lineRule="auto"/>
              <w:ind w:left="2" w:firstLine="0"/>
              <w:jc w:val="left"/>
            </w:pPr>
            <w:r>
              <w:rPr>
                <w:rFonts w:ascii="Calibri" w:eastAsia="Calibri" w:hAnsi="Calibri" w:cs="Calibri"/>
                <w:sz w:val="18"/>
              </w:rPr>
              <w:t>Model 5</w:t>
            </w:r>
          </w:p>
        </w:tc>
        <w:tc>
          <w:tcPr>
            <w:tcW w:w="753" w:type="dxa"/>
            <w:tcBorders>
              <w:top w:val="single" w:sz="2" w:space="0" w:color="181717"/>
              <w:left w:val="single" w:sz="2" w:space="0" w:color="181717"/>
              <w:bottom w:val="single" w:sz="2" w:space="0" w:color="181717"/>
              <w:right w:val="single" w:sz="2" w:space="0" w:color="181717"/>
            </w:tcBorders>
          </w:tcPr>
          <w:p w14:paraId="6BA65ABF" w14:textId="77777777" w:rsidR="006C08A6" w:rsidRDefault="00000000">
            <w:pPr>
              <w:spacing w:after="0" w:line="259" w:lineRule="auto"/>
              <w:ind w:left="2" w:firstLine="0"/>
              <w:jc w:val="left"/>
            </w:pPr>
            <w:r>
              <w:rPr>
                <w:rFonts w:ascii="Calibri" w:eastAsia="Calibri" w:hAnsi="Calibri" w:cs="Calibri"/>
                <w:sz w:val="18"/>
              </w:rPr>
              <w:t>1000</w:t>
            </w:r>
          </w:p>
        </w:tc>
        <w:tc>
          <w:tcPr>
            <w:tcW w:w="590" w:type="dxa"/>
            <w:tcBorders>
              <w:top w:val="single" w:sz="2" w:space="0" w:color="181717"/>
              <w:left w:val="single" w:sz="2" w:space="0" w:color="181717"/>
              <w:bottom w:val="single" w:sz="2" w:space="0" w:color="181717"/>
              <w:right w:val="single" w:sz="2" w:space="0" w:color="181717"/>
            </w:tcBorders>
          </w:tcPr>
          <w:p w14:paraId="67F4497F" w14:textId="77777777" w:rsidR="006C08A6" w:rsidRDefault="00000000">
            <w:pPr>
              <w:spacing w:after="0" w:line="259" w:lineRule="auto"/>
              <w:ind w:left="2" w:firstLine="0"/>
              <w:jc w:val="left"/>
            </w:pPr>
            <w:r>
              <w:rPr>
                <w:rFonts w:ascii="Calibri" w:eastAsia="Calibri" w:hAnsi="Calibri" w:cs="Calibri"/>
                <w:sz w:val="18"/>
              </w:rPr>
              <w:t>10%</w:t>
            </w:r>
          </w:p>
        </w:tc>
      </w:tr>
      <w:tr w:rsidR="006C08A6" w14:paraId="11204441" w14:textId="77777777">
        <w:trPr>
          <w:trHeight w:val="261"/>
        </w:trPr>
        <w:tc>
          <w:tcPr>
            <w:tcW w:w="891" w:type="dxa"/>
            <w:tcBorders>
              <w:top w:val="single" w:sz="2" w:space="0" w:color="181717"/>
              <w:left w:val="single" w:sz="2" w:space="0" w:color="181717"/>
              <w:bottom w:val="single" w:sz="2" w:space="0" w:color="181717"/>
              <w:right w:val="single" w:sz="2" w:space="0" w:color="181717"/>
            </w:tcBorders>
          </w:tcPr>
          <w:p w14:paraId="21DC4B1D" w14:textId="77777777" w:rsidR="006C08A6" w:rsidRDefault="00000000">
            <w:pPr>
              <w:spacing w:after="0" w:line="259" w:lineRule="auto"/>
              <w:ind w:left="2" w:firstLine="0"/>
              <w:jc w:val="left"/>
            </w:pPr>
            <w:r>
              <w:rPr>
                <w:rFonts w:ascii="Calibri" w:eastAsia="Calibri" w:hAnsi="Calibri" w:cs="Calibri"/>
                <w:sz w:val="18"/>
              </w:rPr>
              <w:t>5</w:t>
            </w:r>
          </w:p>
        </w:tc>
        <w:tc>
          <w:tcPr>
            <w:tcW w:w="630" w:type="dxa"/>
            <w:tcBorders>
              <w:top w:val="single" w:sz="2" w:space="0" w:color="181717"/>
              <w:left w:val="single" w:sz="2" w:space="0" w:color="181717"/>
              <w:bottom w:val="single" w:sz="2" w:space="0" w:color="181717"/>
              <w:right w:val="single" w:sz="2" w:space="0" w:color="181717"/>
            </w:tcBorders>
          </w:tcPr>
          <w:p w14:paraId="1B3A5F8B" w14:textId="77777777" w:rsidR="006C08A6" w:rsidRDefault="00000000">
            <w:pPr>
              <w:spacing w:after="0" w:line="259" w:lineRule="auto"/>
              <w:ind w:left="2" w:firstLine="0"/>
              <w:jc w:val="left"/>
            </w:pPr>
            <w:r>
              <w:rPr>
                <w:rFonts w:ascii="Calibri" w:eastAsia="Calibri" w:hAnsi="Calibri" w:cs="Calibri"/>
                <w:sz w:val="18"/>
              </w:rPr>
              <w:t>Model 2</w:t>
            </w:r>
          </w:p>
        </w:tc>
        <w:tc>
          <w:tcPr>
            <w:tcW w:w="631" w:type="dxa"/>
            <w:tcBorders>
              <w:top w:val="single" w:sz="2" w:space="0" w:color="181717"/>
              <w:left w:val="single" w:sz="2" w:space="0" w:color="181717"/>
              <w:bottom w:val="single" w:sz="2" w:space="0" w:color="181717"/>
              <w:right w:val="single" w:sz="2" w:space="0" w:color="181717"/>
            </w:tcBorders>
          </w:tcPr>
          <w:p w14:paraId="29702054" w14:textId="77777777" w:rsidR="006C08A6" w:rsidRDefault="00000000">
            <w:pPr>
              <w:spacing w:after="0" w:line="259" w:lineRule="auto"/>
              <w:ind w:left="2" w:firstLine="0"/>
              <w:jc w:val="left"/>
            </w:pPr>
            <w:r>
              <w:rPr>
                <w:rFonts w:ascii="Calibri" w:eastAsia="Calibri" w:hAnsi="Calibri" w:cs="Calibri"/>
                <w:sz w:val="18"/>
              </w:rPr>
              <w:t>Model 3</w:t>
            </w:r>
          </w:p>
        </w:tc>
        <w:tc>
          <w:tcPr>
            <w:tcW w:w="753" w:type="dxa"/>
            <w:tcBorders>
              <w:top w:val="single" w:sz="2" w:space="0" w:color="181717"/>
              <w:left w:val="single" w:sz="2" w:space="0" w:color="181717"/>
              <w:bottom w:val="single" w:sz="2" w:space="0" w:color="181717"/>
              <w:right w:val="single" w:sz="2" w:space="0" w:color="181717"/>
            </w:tcBorders>
          </w:tcPr>
          <w:p w14:paraId="4D94FF45" w14:textId="77777777" w:rsidR="006C08A6" w:rsidRDefault="00000000">
            <w:pPr>
              <w:spacing w:after="0" w:line="259" w:lineRule="auto"/>
              <w:ind w:left="2" w:firstLine="0"/>
              <w:jc w:val="left"/>
            </w:pPr>
            <w:r>
              <w:rPr>
                <w:rFonts w:ascii="Calibri" w:eastAsia="Calibri" w:hAnsi="Calibri" w:cs="Calibri"/>
                <w:sz w:val="18"/>
              </w:rPr>
              <w:t>1000</w:t>
            </w:r>
          </w:p>
        </w:tc>
        <w:tc>
          <w:tcPr>
            <w:tcW w:w="590" w:type="dxa"/>
            <w:tcBorders>
              <w:top w:val="single" w:sz="2" w:space="0" w:color="181717"/>
              <w:left w:val="single" w:sz="2" w:space="0" w:color="181717"/>
              <w:bottom w:val="single" w:sz="2" w:space="0" w:color="181717"/>
              <w:right w:val="single" w:sz="2" w:space="0" w:color="181717"/>
            </w:tcBorders>
          </w:tcPr>
          <w:p w14:paraId="6811E237" w14:textId="77777777" w:rsidR="006C08A6" w:rsidRDefault="00000000">
            <w:pPr>
              <w:spacing w:after="0" w:line="259" w:lineRule="auto"/>
              <w:ind w:left="2" w:firstLine="0"/>
              <w:jc w:val="left"/>
            </w:pPr>
            <w:r>
              <w:rPr>
                <w:rFonts w:ascii="Calibri" w:eastAsia="Calibri" w:hAnsi="Calibri" w:cs="Calibri"/>
                <w:sz w:val="18"/>
              </w:rPr>
              <w:t>60%</w:t>
            </w:r>
          </w:p>
        </w:tc>
      </w:tr>
      <w:tr w:rsidR="006C08A6" w14:paraId="007D2BC1" w14:textId="77777777">
        <w:trPr>
          <w:trHeight w:val="261"/>
        </w:trPr>
        <w:tc>
          <w:tcPr>
            <w:tcW w:w="891" w:type="dxa"/>
            <w:tcBorders>
              <w:top w:val="single" w:sz="2" w:space="0" w:color="181717"/>
              <w:left w:val="single" w:sz="2" w:space="0" w:color="181717"/>
              <w:bottom w:val="single" w:sz="2" w:space="0" w:color="181717"/>
              <w:right w:val="single" w:sz="2" w:space="0" w:color="181717"/>
            </w:tcBorders>
          </w:tcPr>
          <w:p w14:paraId="1DE73726" w14:textId="77777777" w:rsidR="006C08A6" w:rsidRDefault="00000000">
            <w:pPr>
              <w:spacing w:after="0" w:line="259" w:lineRule="auto"/>
              <w:ind w:left="2" w:firstLine="0"/>
              <w:jc w:val="left"/>
            </w:pPr>
            <w:r>
              <w:rPr>
                <w:rFonts w:ascii="Calibri" w:eastAsia="Calibri" w:hAnsi="Calibri" w:cs="Calibri"/>
                <w:sz w:val="18"/>
              </w:rPr>
              <w:t>6</w:t>
            </w:r>
          </w:p>
        </w:tc>
        <w:tc>
          <w:tcPr>
            <w:tcW w:w="630" w:type="dxa"/>
            <w:tcBorders>
              <w:top w:val="single" w:sz="2" w:space="0" w:color="181717"/>
              <w:left w:val="single" w:sz="2" w:space="0" w:color="181717"/>
              <w:bottom w:val="single" w:sz="2" w:space="0" w:color="181717"/>
              <w:right w:val="single" w:sz="2" w:space="0" w:color="181717"/>
            </w:tcBorders>
          </w:tcPr>
          <w:p w14:paraId="4A3B75DC" w14:textId="77777777" w:rsidR="006C08A6" w:rsidRDefault="00000000">
            <w:pPr>
              <w:spacing w:after="0" w:line="259" w:lineRule="auto"/>
              <w:ind w:left="2" w:firstLine="0"/>
              <w:jc w:val="left"/>
            </w:pPr>
            <w:r>
              <w:rPr>
                <w:rFonts w:ascii="Calibri" w:eastAsia="Calibri" w:hAnsi="Calibri" w:cs="Calibri"/>
                <w:sz w:val="18"/>
              </w:rPr>
              <w:t>Model 2</w:t>
            </w:r>
          </w:p>
        </w:tc>
        <w:tc>
          <w:tcPr>
            <w:tcW w:w="631" w:type="dxa"/>
            <w:tcBorders>
              <w:top w:val="single" w:sz="2" w:space="0" w:color="181717"/>
              <w:left w:val="single" w:sz="2" w:space="0" w:color="181717"/>
              <w:bottom w:val="single" w:sz="2" w:space="0" w:color="181717"/>
              <w:right w:val="single" w:sz="2" w:space="0" w:color="181717"/>
            </w:tcBorders>
          </w:tcPr>
          <w:p w14:paraId="66255695" w14:textId="77777777" w:rsidR="006C08A6" w:rsidRDefault="00000000">
            <w:pPr>
              <w:spacing w:after="0" w:line="259" w:lineRule="auto"/>
              <w:ind w:left="2" w:firstLine="0"/>
              <w:jc w:val="left"/>
            </w:pPr>
            <w:r>
              <w:rPr>
                <w:rFonts w:ascii="Calibri" w:eastAsia="Calibri" w:hAnsi="Calibri" w:cs="Calibri"/>
                <w:sz w:val="18"/>
              </w:rPr>
              <w:t>Model 4</w:t>
            </w:r>
          </w:p>
        </w:tc>
        <w:tc>
          <w:tcPr>
            <w:tcW w:w="753" w:type="dxa"/>
            <w:tcBorders>
              <w:top w:val="single" w:sz="2" w:space="0" w:color="181717"/>
              <w:left w:val="single" w:sz="2" w:space="0" w:color="181717"/>
              <w:bottom w:val="single" w:sz="2" w:space="0" w:color="181717"/>
              <w:right w:val="single" w:sz="2" w:space="0" w:color="181717"/>
            </w:tcBorders>
          </w:tcPr>
          <w:p w14:paraId="41776DEB" w14:textId="77777777" w:rsidR="006C08A6" w:rsidRDefault="00000000">
            <w:pPr>
              <w:spacing w:after="0" w:line="259" w:lineRule="auto"/>
              <w:ind w:left="2" w:firstLine="0"/>
              <w:jc w:val="left"/>
            </w:pPr>
            <w:r>
              <w:rPr>
                <w:rFonts w:ascii="Calibri" w:eastAsia="Calibri" w:hAnsi="Calibri" w:cs="Calibri"/>
                <w:sz w:val="18"/>
              </w:rPr>
              <w:t>1000</w:t>
            </w:r>
          </w:p>
        </w:tc>
        <w:tc>
          <w:tcPr>
            <w:tcW w:w="590" w:type="dxa"/>
            <w:tcBorders>
              <w:top w:val="single" w:sz="2" w:space="0" w:color="181717"/>
              <w:left w:val="single" w:sz="2" w:space="0" w:color="181717"/>
              <w:bottom w:val="single" w:sz="2" w:space="0" w:color="181717"/>
              <w:right w:val="single" w:sz="2" w:space="0" w:color="181717"/>
            </w:tcBorders>
          </w:tcPr>
          <w:p w14:paraId="1DC09768" w14:textId="77777777" w:rsidR="006C08A6" w:rsidRDefault="00000000">
            <w:pPr>
              <w:spacing w:after="0" w:line="259" w:lineRule="auto"/>
              <w:ind w:left="2" w:firstLine="0"/>
              <w:jc w:val="left"/>
            </w:pPr>
            <w:r>
              <w:rPr>
                <w:rFonts w:ascii="Calibri" w:eastAsia="Calibri" w:hAnsi="Calibri" w:cs="Calibri"/>
                <w:sz w:val="18"/>
              </w:rPr>
              <w:t>80%</w:t>
            </w:r>
          </w:p>
        </w:tc>
      </w:tr>
      <w:tr w:rsidR="006C08A6" w14:paraId="60823128" w14:textId="77777777">
        <w:trPr>
          <w:trHeight w:val="261"/>
        </w:trPr>
        <w:tc>
          <w:tcPr>
            <w:tcW w:w="891" w:type="dxa"/>
            <w:tcBorders>
              <w:top w:val="single" w:sz="2" w:space="0" w:color="181717"/>
              <w:left w:val="single" w:sz="2" w:space="0" w:color="181717"/>
              <w:bottom w:val="single" w:sz="2" w:space="0" w:color="181717"/>
              <w:right w:val="single" w:sz="2" w:space="0" w:color="181717"/>
            </w:tcBorders>
          </w:tcPr>
          <w:p w14:paraId="5D043CB7" w14:textId="77777777" w:rsidR="006C08A6" w:rsidRDefault="00000000">
            <w:pPr>
              <w:spacing w:after="0" w:line="259" w:lineRule="auto"/>
              <w:ind w:left="2" w:firstLine="0"/>
              <w:jc w:val="left"/>
            </w:pPr>
            <w:r>
              <w:rPr>
                <w:rFonts w:ascii="Calibri" w:eastAsia="Calibri" w:hAnsi="Calibri" w:cs="Calibri"/>
                <w:sz w:val="18"/>
              </w:rPr>
              <w:t>7</w:t>
            </w:r>
          </w:p>
        </w:tc>
        <w:tc>
          <w:tcPr>
            <w:tcW w:w="630" w:type="dxa"/>
            <w:tcBorders>
              <w:top w:val="single" w:sz="2" w:space="0" w:color="181717"/>
              <w:left w:val="single" w:sz="2" w:space="0" w:color="181717"/>
              <w:bottom w:val="single" w:sz="2" w:space="0" w:color="181717"/>
              <w:right w:val="single" w:sz="2" w:space="0" w:color="181717"/>
            </w:tcBorders>
          </w:tcPr>
          <w:p w14:paraId="069A1BC4" w14:textId="77777777" w:rsidR="006C08A6" w:rsidRDefault="00000000">
            <w:pPr>
              <w:spacing w:after="0" w:line="259" w:lineRule="auto"/>
              <w:ind w:left="2" w:firstLine="0"/>
              <w:jc w:val="left"/>
            </w:pPr>
            <w:r>
              <w:rPr>
                <w:rFonts w:ascii="Calibri" w:eastAsia="Calibri" w:hAnsi="Calibri" w:cs="Calibri"/>
                <w:sz w:val="18"/>
              </w:rPr>
              <w:t>Model 2</w:t>
            </w:r>
          </w:p>
        </w:tc>
        <w:tc>
          <w:tcPr>
            <w:tcW w:w="631" w:type="dxa"/>
            <w:tcBorders>
              <w:top w:val="single" w:sz="2" w:space="0" w:color="181717"/>
              <w:left w:val="single" w:sz="2" w:space="0" w:color="181717"/>
              <w:bottom w:val="single" w:sz="2" w:space="0" w:color="181717"/>
              <w:right w:val="single" w:sz="2" w:space="0" w:color="181717"/>
            </w:tcBorders>
          </w:tcPr>
          <w:p w14:paraId="6127E0A1" w14:textId="77777777" w:rsidR="006C08A6" w:rsidRDefault="00000000">
            <w:pPr>
              <w:spacing w:after="0" w:line="259" w:lineRule="auto"/>
              <w:ind w:left="2" w:firstLine="0"/>
              <w:jc w:val="left"/>
            </w:pPr>
            <w:r>
              <w:rPr>
                <w:rFonts w:ascii="Calibri" w:eastAsia="Calibri" w:hAnsi="Calibri" w:cs="Calibri"/>
                <w:sz w:val="18"/>
              </w:rPr>
              <w:t>Model 5</w:t>
            </w:r>
          </w:p>
        </w:tc>
        <w:tc>
          <w:tcPr>
            <w:tcW w:w="753" w:type="dxa"/>
            <w:tcBorders>
              <w:top w:val="single" w:sz="2" w:space="0" w:color="181717"/>
              <w:left w:val="single" w:sz="2" w:space="0" w:color="181717"/>
              <w:bottom w:val="single" w:sz="2" w:space="0" w:color="181717"/>
              <w:right w:val="single" w:sz="2" w:space="0" w:color="181717"/>
            </w:tcBorders>
          </w:tcPr>
          <w:p w14:paraId="51E163B1" w14:textId="77777777" w:rsidR="006C08A6" w:rsidRDefault="00000000">
            <w:pPr>
              <w:spacing w:after="0" w:line="259" w:lineRule="auto"/>
              <w:ind w:left="2" w:firstLine="0"/>
              <w:jc w:val="left"/>
            </w:pPr>
            <w:r>
              <w:rPr>
                <w:rFonts w:ascii="Calibri" w:eastAsia="Calibri" w:hAnsi="Calibri" w:cs="Calibri"/>
                <w:sz w:val="18"/>
              </w:rPr>
              <w:t>1000</w:t>
            </w:r>
          </w:p>
        </w:tc>
        <w:tc>
          <w:tcPr>
            <w:tcW w:w="590" w:type="dxa"/>
            <w:tcBorders>
              <w:top w:val="single" w:sz="2" w:space="0" w:color="181717"/>
              <w:left w:val="single" w:sz="2" w:space="0" w:color="181717"/>
              <w:bottom w:val="single" w:sz="2" w:space="0" w:color="181717"/>
              <w:right w:val="single" w:sz="2" w:space="0" w:color="181717"/>
            </w:tcBorders>
          </w:tcPr>
          <w:p w14:paraId="4EBA6A05" w14:textId="77777777" w:rsidR="006C08A6" w:rsidRDefault="00000000">
            <w:pPr>
              <w:spacing w:after="0" w:line="259" w:lineRule="auto"/>
              <w:ind w:left="2" w:firstLine="0"/>
              <w:jc w:val="left"/>
            </w:pPr>
            <w:r>
              <w:rPr>
                <w:rFonts w:ascii="Calibri" w:eastAsia="Calibri" w:hAnsi="Calibri" w:cs="Calibri"/>
                <w:sz w:val="18"/>
              </w:rPr>
              <w:t>80%</w:t>
            </w:r>
          </w:p>
        </w:tc>
      </w:tr>
      <w:tr w:rsidR="006C08A6" w14:paraId="098BA7FC" w14:textId="77777777">
        <w:trPr>
          <w:trHeight w:val="261"/>
        </w:trPr>
        <w:tc>
          <w:tcPr>
            <w:tcW w:w="891" w:type="dxa"/>
            <w:tcBorders>
              <w:top w:val="single" w:sz="2" w:space="0" w:color="181717"/>
              <w:left w:val="single" w:sz="2" w:space="0" w:color="181717"/>
              <w:bottom w:val="single" w:sz="2" w:space="0" w:color="181717"/>
              <w:right w:val="single" w:sz="2" w:space="0" w:color="181717"/>
            </w:tcBorders>
          </w:tcPr>
          <w:p w14:paraId="7DA4C895" w14:textId="77777777" w:rsidR="006C08A6" w:rsidRDefault="00000000">
            <w:pPr>
              <w:spacing w:after="0" w:line="259" w:lineRule="auto"/>
              <w:ind w:left="2" w:firstLine="0"/>
              <w:jc w:val="left"/>
            </w:pPr>
            <w:r>
              <w:rPr>
                <w:rFonts w:ascii="Calibri" w:eastAsia="Calibri" w:hAnsi="Calibri" w:cs="Calibri"/>
                <w:sz w:val="18"/>
              </w:rPr>
              <w:t>8</w:t>
            </w:r>
          </w:p>
        </w:tc>
        <w:tc>
          <w:tcPr>
            <w:tcW w:w="630" w:type="dxa"/>
            <w:tcBorders>
              <w:top w:val="single" w:sz="2" w:space="0" w:color="181717"/>
              <w:left w:val="single" w:sz="2" w:space="0" w:color="181717"/>
              <w:bottom w:val="single" w:sz="2" w:space="0" w:color="181717"/>
              <w:right w:val="single" w:sz="2" w:space="0" w:color="181717"/>
            </w:tcBorders>
          </w:tcPr>
          <w:p w14:paraId="35B00267" w14:textId="77777777" w:rsidR="006C08A6" w:rsidRDefault="00000000">
            <w:pPr>
              <w:spacing w:after="0" w:line="259" w:lineRule="auto"/>
              <w:ind w:left="2" w:firstLine="0"/>
              <w:jc w:val="left"/>
            </w:pPr>
            <w:r>
              <w:rPr>
                <w:rFonts w:ascii="Calibri" w:eastAsia="Calibri" w:hAnsi="Calibri" w:cs="Calibri"/>
                <w:sz w:val="18"/>
              </w:rPr>
              <w:t>Model 3</w:t>
            </w:r>
          </w:p>
        </w:tc>
        <w:tc>
          <w:tcPr>
            <w:tcW w:w="631" w:type="dxa"/>
            <w:tcBorders>
              <w:top w:val="single" w:sz="2" w:space="0" w:color="181717"/>
              <w:left w:val="single" w:sz="2" w:space="0" w:color="181717"/>
              <w:bottom w:val="single" w:sz="2" w:space="0" w:color="181717"/>
              <w:right w:val="single" w:sz="2" w:space="0" w:color="181717"/>
            </w:tcBorders>
          </w:tcPr>
          <w:p w14:paraId="3C58F013" w14:textId="77777777" w:rsidR="006C08A6" w:rsidRDefault="00000000">
            <w:pPr>
              <w:spacing w:after="0" w:line="259" w:lineRule="auto"/>
              <w:ind w:left="2" w:firstLine="0"/>
              <w:jc w:val="left"/>
            </w:pPr>
            <w:r>
              <w:rPr>
                <w:rFonts w:ascii="Calibri" w:eastAsia="Calibri" w:hAnsi="Calibri" w:cs="Calibri"/>
                <w:sz w:val="18"/>
              </w:rPr>
              <w:t>Model 4</w:t>
            </w:r>
          </w:p>
        </w:tc>
        <w:tc>
          <w:tcPr>
            <w:tcW w:w="753" w:type="dxa"/>
            <w:tcBorders>
              <w:top w:val="single" w:sz="2" w:space="0" w:color="181717"/>
              <w:left w:val="single" w:sz="2" w:space="0" w:color="181717"/>
              <w:bottom w:val="single" w:sz="2" w:space="0" w:color="181717"/>
              <w:right w:val="single" w:sz="2" w:space="0" w:color="181717"/>
            </w:tcBorders>
          </w:tcPr>
          <w:p w14:paraId="3AFEEDC2" w14:textId="77777777" w:rsidR="006C08A6" w:rsidRDefault="00000000">
            <w:pPr>
              <w:spacing w:after="0" w:line="259" w:lineRule="auto"/>
              <w:ind w:left="2" w:firstLine="0"/>
              <w:jc w:val="left"/>
            </w:pPr>
            <w:r>
              <w:rPr>
                <w:rFonts w:ascii="Calibri" w:eastAsia="Calibri" w:hAnsi="Calibri" w:cs="Calibri"/>
                <w:sz w:val="18"/>
              </w:rPr>
              <w:t>1000</w:t>
            </w:r>
          </w:p>
        </w:tc>
        <w:tc>
          <w:tcPr>
            <w:tcW w:w="590" w:type="dxa"/>
            <w:tcBorders>
              <w:top w:val="single" w:sz="2" w:space="0" w:color="181717"/>
              <w:left w:val="single" w:sz="2" w:space="0" w:color="181717"/>
              <w:bottom w:val="single" w:sz="2" w:space="0" w:color="181717"/>
              <w:right w:val="single" w:sz="2" w:space="0" w:color="181717"/>
            </w:tcBorders>
          </w:tcPr>
          <w:p w14:paraId="60F3F1AF" w14:textId="77777777" w:rsidR="006C08A6" w:rsidRDefault="00000000">
            <w:pPr>
              <w:spacing w:after="0" w:line="259" w:lineRule="auto"/>
              <w:ind w:left="2" w:firstLine="0"/>
              <w:jc w:val="left"/>
            </w:pPr>
            <w:r>
              <w:rPr>
                <w:rFonts w:ascii="Calibri" w:eastAsia="Calibri" w:hAnsi="Calibri" w:cs="Calibri"/>
                <w:sz w:val="18"/>
              </w:rPr>
              <w:t>70%</w:t>
            </w:r>
          </w:p>
        </w:tc>
      </w:tr>
      <w:tr w:rsidR="006C08A6" w14:paraId="6B0DA232" w14:textId="77777777">
        <w:trPr>
          <w:trHeight w:val="261"/>
        </w:trPr>
        <w:tc>
          <w:tcPr>
            <w:tcW w:w="891" w:type="dxa"/>
            <w:tcBorders>
              <w:top w:val="single" w:sz="2" w:space="0" w:color="181717"/>
              <w:left w:val="single" w:sz="2" w:space="0" w:color="181717"/>
              <w:bottom w:val="single" w:sz="2" w:space="0" w:color="181717"/>
              <w:right w:val="single" w:sz="2" w:space="0" w:color="181717"/>
            </w:tcBorders>
          </w:tcPr>
          <w:p w14:paraId="4DB8271E" w14:textId="77777777" w:rsidR="006C08A6" w:rsidRDefault="00000000">
            <w:pPr>
              <w:spacing w:after="0" w:line="259" w:lineRule="auto"/>
              <w:ind w:left="2" w:firstLine="0"/>
              <w:jc w:val="left"/>
            </w:pPr>
            <w:r>
              <w:rPr>
                <w:rFonts w:ascii="Calibri" w:eastAsia="Calibri" w:hAnsi="Calibri" w:cs="Calibri"/>
                <w:sz w:val="18"/>
              </w:rPr>
              <w:t>9</w:t>
            </w:r>
          </w:p>
        </w:tc>
        <w:tc>
          <w:tcPr>
            <w:tcW w:w="630" w:type="dxa"/>
            <w:tcBorders>
              <w:top w:val="single" w:sz="2" w:space="0" w:color="181717"/>
              <w:left w:val="single" w:sz="2" w:space="0" w:color="181717"/>
              <w:bottom w:val="single" w:sz="2" w:space="0" w:color="181717"/>
              <w:right w:val="single" w:sz="2" w:space="0" w:color="181717"/>
            </w:tcBorders>
          </w:tcPr>
          <w:p w14:paraId="2CC1890F" w14:textId="77777777" w:rsidR="006C08A6" w:rsidRDefault="00000000">
            <w:pPr>
              <w:spacing w:after="0" w:line="259" w:lineRule="auto"/>
              <w:ind w:left="2" w:firstLine="0"/>
              <w:jc w:val="left"/>
            </w:pPr>
            <w:r>
              <w:rPr>
                <w:rFonts w:ascii="Calibri" w:eastAsia="Calibri" w:hAnsi="Calibri" w:cs="Calibri"/>
                <w:sz w:val="18"/>
              </w:rPr>
              <w:t>Model 3</w:t>
            </w:r>
          </w:p>
        </w:tc>
        <w:tc>
          <w:tcPr>
            <w:tcW w:w="631" w:type="dxa"/>
            <w:tcBorders>
              <w:top w:val="single" w:sz="2" w:space="0" w:color="181717"/>
              <w:left w:val="single" w:sz="2" w:space="0" w:color="181717"/>
              <w:bottom w:val="single" w:sz="2" w:space="0" w:color="181717"/>
              <w:right w:val="single" w:sz="2" w:space="0" w:color="181717"/>
            </w:tcBorders>
          </w:tcPr>
          <w:p w14:paraId="17B3D227" w14:textId="77777777" w:rsidR="006C08A6" w:rsidRDefault="00000000">
            <w:pPr>
              <w:spacing w:after="0" w:line="259" w:lineRule="auto"/>
              <w:ind w:left="2" w:firstLine="0"/>
              <w:jc w:val="left"/>
            </w:pPr>
            <w:r>
              <w:rPr>
                <w:rFonts w:ascii="Calibri" w:eastAsia="Calibri" w:hAnsi="Calibri" w:cs="Calibri"/>
                <w:sz w:val="18"/>
              </w:rPr>
              <w:t>Model 5</w:t>
            </w:r>
          </w:p>
        </w:tc>
        <w:tc>
          <w:tcPr>
            <w:tcW w:w="753" w:type="dxa"/>
            <w:tcBorders>
              <w:top w:val="single" w:sz="2" w:space="0" w:color="181717"/>
              <w:left w:val="single" w:sz="2" w:space="0" w:color="181717"/>
              <w:bottom w:val="single" w:sz="2" w:space="0" w:color="181717"/>
              <w:right w:val="single" w:sz="2" w:space="0" w:color="181717"/>
            </w:tcBorders>
          </w:tcPr>
          <w:p w14:paraId="6891E381" w14:textId="77777777" w:rsidR="006C08A6" w:rsidRDefault="00000000">
            <w:pPr>
              <w:spacing w:after="0" w:line="259" w:lineRule="auto"/>
              <w:ind w:left="2" w:firstLine="0"/>
              <w:jc w:val="left"/>
            </w:pPr>
            <w:r>
              <w:rPr>
                <w:rFonts w:ascii="Calibri" w:eastAsia="Calibri" w:hAnsi="Calibri" w:cs="Calibri"/>
                <w:sz w:val="18"/>
              </w:rPr>
              <w:t>1000</w:t>
            </w:r>
          </w:p>
        </w:tc>
        <w:tc>
          <w:tcPr>
            <w:tcW w:w="590" w:type="dxa"/>
            <w:tcBorders>
              <w:top w:val="single" w:sz="2" w:space="0" w:color="181717"/>
              <w:left w:val="single" w:sz="2" w:space="0" w:color="181717"/>
              <w:bottom w:val="single" w:sz="2" w:space="0" w:color="181717"/>
              <w:right w:val="single" w:sz="2" w:space="0" w:color="181717"/>
            </w:tcBorders>
          </w:tcPr>
          <w:p w14:paraId="3FD1B4B0" w14:textId="77777777" w:rsidR="006C08A6" w:rsidRDefault="00000000">
            <w:pPr>
              <w:spacing w:after="0" w:line="259" w:lineRule="auto"/>
              <w:ind w:left="2" w:firstLine="0"/>
              <w:jc w:val="left"/>
            </w:pPr>
            <w:r>
              <w:rPr>
                <w:rFonts w:ascii="Calibri" w:eastAsia="Calibri" w:hAnsi="Calibri" w:cs="Calibri"/>
                <w:sz w:val="18"/>
              </w:rPr>
              <w:t>10%</w:t>
            </w:r>
          </w:p>
        </w:tc>
      </w:tr>
      <w:tr w:rsidR="006C08A6" w14:paraId="2125412A" w14:textId="77777777">
        <w:trPr>
          <w:trHeight w:val="261"/>
        </w:trPr>
        <w:tc>
          <w:tcPr>
            <w:tcW w:w="891" w:type="dxa"/>
            <w:tcBorders>
              <w:top w:val="single" w:sz="2" w:space="0" w:color="181717"/>
              <w:left w:val="single" w:sz="2" w:space="0" w:color="181717"/>
              <w:bottom w:val="single" w:sz="2" w:space="0" w:color="181717"/>
              <w:right w:val="single" w:sz="2" w:space="0" w:color="181717"/>
            </w:tcBorders>
          </w:tcPr>
          <w:p w14:paraId="05144557" w14:textId="77777777" w:rsidR="006C08A6" w:rsidRDefault="00000000">
            <w:pPr>
              <w:spacing w:after="0" w:line="259" w:lineRule="auto"/>
              <w:ind w:left="2" w:firstLine="0"/>
              <w:jc w:val="left"/>
            </w:pPr>
            <w:r>
              <w:rPr>
                <w:rFonts w:ascii="Calibri" w:eastAsia="Calibri" w:hAnsi="Calibri" w:cs="Calibri"/>
                <w:sz w:val="18"/>
              </w:rPr>
              <w:t>10</w:t>
            </w:r>
          </w:p>
        </w:tc>
        <w:tc>
          <w:tcPr>
            <w:tcW w:w="630" w:type="dxa"/>
            <w:tcBorders>
              <w:top w:val="single" w:sz="2" w:space="0" w:color="181717"/>
              <w:left w:val="single" w:sz="2" w:space="0" w:color="181717"/>
              <w:bottom w:val="single" w:sz="2" w:space="0" w:color="181717"/>
              <w:right w:val="single" w:sz="2" w:space="0" w:color="181717"/>
            </w:tcBorders>
          </w:tcPr>
          <w:p w14:paraId="75B4C0BE" w14:textId="77777777" w:rsidR="006C08A6" w:rsidRDefault="00000000">
            <w:pPr>
              <w:spacing w:after="0" w:line="259" w:lineRule="auto"/>
              <w:ind w:left="2" w:firstLine="0"/>
              <w:jc w:val="left"/>
            </w:pPr>
            <w:r>
              <w:rPr>
                <w:rFonts w:ascii="Calibri" w:eastAsia="Calibri" w:hAnsi="Calibri" w:cs="Calibri"/>
                <w:sz w:val="18"/>
              </w:rPr>
              <w:t>Model 4</w:t>
            </w:r>
          </w:p>
        </w:tc>
        <w:tc>
          <w:tcPr>
            <w:tcW w:w="631" w:type="dxa"/>
            <w:tcBorders>
              <w:top w:val="single" w:sz="2" w:space="0" w:color="181717"/>
              <w:left w:val="single" w:sz="2" w:space="0" w:color="181717"/>
              <w:bottom w:val="single" w:sz="2" w:space="0" w:color="181717"/>
              <w:right w:val="single" w:sz="2" w:space="0" w:color="181717"/>
            </w:tcBorders>
          </w:tcPr>
          <w:p w14:paraId="32532452" w14:textId="77777777" w:rsidR="006C08A6" w:rsidRDefault="00000000">
            <w:pPr>
              <w:spacing w:after="0" w:line="259" w:lineRule="auto"/>
              <w:ind w:left="2" w:firstLine="0"/>
              <w:jc w:val="left"/>
            </w:pPr>
            <w:r>
              <w:rPr>
                <w:rFonts w:ascii="Calibri" w:eastAsia="Calibri" w:hAnsi="Calibri" w:cs="Calibri"/>
                <w:sz w:val="18"/>
              </w:rPr>
              <w:t>Model 5</w:t>
            </w:r>
          </w:p>
        </w:tc>
        <w:tc>
          <w:tcPr>
            <w:tcW w:w="753" w:type="dxa"/>
            <w:tcBorders>
              <w:top w:val="single" w:sz="2" w:space="0" w:color="181717"/>
              <w:left w:val="single" w:sz="2" w:space="0" w:color="181717"/>
              <w:bottom w:val="single" w:sz="2" w:space="0" w:color="181717"/>
              <w:right w:val="single" w:sz="2" w:space="0" w:color="181717"/>
            </w:tcBorders>
          </w:tcPr>
          <w:p w14:paraId="3AA53BD3" w14:textId="77777777" w:rsidR="006C08A6" w:rsidRDefault="00000000">
            <w:pPr>
              <w:spacing w:after="0" w:line="259" w:lineRule="auto"/>
              <w:ind w:left="2" w:firstLine="0"/>
              <w:jc w:val="left"/>
            </w:pPr>
            <w:r>
              <w:rPr>
                <w:rFonts w:ascii="Calibri" w:eastAsia="Calibri" w:hAnsi="Calibri" w:cs="Calibri"/>
                <w:sz w:val="18"/>
              </w:rPr>
              <w:t>1000</w:t>
            </w:r>
          </w:p>
        </w:tc>
        <w:tc>
          <w:tcPr>
            <w:tcW w:w="590" w:type="dxa"/>
            <w:tcBorders>
              <w:top w:val="single" w:sz="2" w:space="0" w:color="181717"/>
              <w:left w:val="single" w:sz="2" w:space="0" w:color="181717"/>
              <w:bottom w:val="single" w:sz="2" w:space="0" w:color="181717"/>
              <w:right w:val="single" w:sz="2" w:space="0" w:color="181717"/>
            </w:tcBorders>
          </w:tcPr>
          <w:p w14:paraId="6FF4E5EA" w14:textId="77777777" w:rsidR="006C08A6" w:rsidRDefault="00000000">
            <w:pPr>
              <w:spacing w:after="0" w:line="259" w:lineRule="auto"/>
              <w:ind w:left="2" w:firstLine="0"/>
              <w:jc w:val="left"/>
            </w:pPr>
            <w:r>
              <w:rPr>
                <w:rFonts w:ascii="Calibri" w:eastAsia="Calibri" w:hAnsi="Calibri" w:cs="Calibri"/>
                <w:sz w:val="18"/>
              </w:rPr>
              <w:t>20%</w:t>
            </w:r>
          </w:p>
        </w:tc>
      </w:tr>
    </w:tbl>
    <w:p w14:paraId="2D41A52D" w14:textId="77777777" w:rsidR="006C08A6" w:rsidRDefault="00000000">
      <w:pPr>
        <w:ind w:left="-5"/>
      </w:pPr>
      <w:r>
        <w:t xml:space="preserve">Given comparative signals, a </w:t>
      </w:r>
      <w:r>
        <w:rPr>
          <w:i/>
        </w:rPr>
        <w:t>rating algorithm</w:t>
      </w:r>
      <w:r>
        <w:t xml:space="preserve"> is then used to compute a ranking of models. Typically, this algorithm first computes a score for each model from the comparative signals and then ranks models by their scores.</w:t>
      </w:r>
    </w:p>
    <w:p w14:paraId="4A6A7CAC" w14:textId="77777777" w:rsidR="006C08A6" w:rsidRDefault="00000000">
      <w:pPr>
        <w:spacing w:after="0"/>
        <w:ind w:left="-5"/>
      </w:pPr>
      <w:r>
        <w:t>Comparative evaluation is new in AI but has been around for almost a century in other industries. It’s especially popular in sports and video games. Many rating algorithms developed for these other domains can be adapted to evaluating AI models, such as Elo, Bradley–Terry, and TrueSkill. LMSYS’s Chatbot Arena originally used Elo to compute models’ ranking but later switched to the Bradley–Terry algorithm</w:t>
      </w:r>
    </w:p>
    <w:p w14:paraId="723DBDB4" w14:textId="77777777" w:rsidR="006C08A6" w:rsidRDefault="00000000">
      <w:pPr>
        <w:spacing w:after="153"/>
        <w:ind w:left="-5"/>
      </w:pPr>
      <w:r>
        <w:t>because they found Elo sensitive to the order of evaluators and prompts.</w:t>
      </w:r>
      <w:r>
        <w:rPr>
          <w:sz w:val="18"/>
          <w:vertAlign w:val="superscript"/>
        </w:rPr>
        <w:footnoteReference w:id="23"/>
      </w:r>
    </w:p>
    <w:p w14:paraId="45A39FD2" w14:textId="77777777" w:rsidR="006C08A6" w:rsidRDefault="00000000">
      <w:pPr>
        <w:spacing w:line="249" w:lineRule="auto"/>
        <w:ind w:left="-5" w:right="-15"/>
      </w:pPr>
      <w:r>
        <w:rPr>
          <w:i/>
        </w:rPr>
        <w:t>A ranking is correct if, for any model pair, the higher-ranked model is more likely to win in a match against the lower-ranked model</w:t>
      </w:r>
      <w:r>
        <w:t>. If model A ranks higher than model B, users should prefer model A to model B more than half the time.</w:t>
      </w:r>
    </w:p>
    <w:p w14:paraId="313717D4" w14:textId="77777777" w:rsidR="006C08A6" w:rsidRDefault="00000000">
      <w:pPr>
        <w:ind w:left="-5"/>
      </w:pPr>
      <w:r>
        <w:t xml:space="preserve">Through this lens, model ranking is a predictive problem. We compute a ranking from historical match outcomes and use it to predict future match outcomes. Different ranking algorithms can produce different rankings, and there’s no ground truth for what the correct ranking is. The quality of a ranking is determined by how good it is in predicting future match outcomes. My analysis of Chatbot Arena’s ranking shows that </w:t>
      </w:r>
      <w:r>
        <w:lastRenderedPageBreak/>
        <w:t xml:space="preserve">the produced ranking is good, at least for model pairs with sufficient matches. See the book’s </w:t>
      </w:r>
      <w:r>
        <w:rPr>
          <w:color w:val="990000"/>
        </w:rPr>
        <w:t>GitHub repo</w:t>
      </w:r>
      <w:r>
        <w:t xml:space="preserve"> for the analysis.</w:t>
      </w:r>
    </w:p>
    <w:p w14:paraId="2999E002" w14:textId="77777777" w:rsidR="006C08A6" w:rsidRDefault="00000000">
      <w:pPr>
        <w:pStyle w:val="Heading2"/>
        <w:ind w:left="-5"/>
      </w:pPr>
      <w:r>
        <w:t>Challenges of Comparative Evaluation</w:t>
      </w:r>
    </w:p>
    <w:p w14:paraId="0F3364DA" w14:textId="77777777" w:rsidR="006C08A6" w:rsidRDefault="00000000">
      <w:pPr>
        <w:spacing w:after="250"/>
        <w:ind w:left="-5"/>
      </w:pPr>
      <w:r>
        <w:t>With pointwise evaluation, the heavy-lifting part of the process is in designing the benchmark and metrics to gather the right signals. Computing scores to rank models is easy. With comparative evaluation, both signal gathering and model ranking are challenging. This section goes over the three common challenges of comparative evaluation.</w:t>
      </w:r>
    </w:p>
    <w:p w14:paraId="41B0B48B" w14:textId="77777777" w:rsidR="006C08A6" w:rsidRDefault="00000000">
      <w:pPr>
        <w:pStyle w:val="Heading3"/>
        <w:ind w:left="-5"/>
      </w:pPr>
      <w:r>
        <w:t>Scalability bottlenecks</w:t>
      </w:r>
    </w:p>
    <w:p w14:paraId="330B1EED" w14:textId="77777777" w:rsidR="006C08A6" w:rsidRDefault="00000000">
      <w:pPr>
        <w:ind w:left="-5"/>
      </w:pPr>
      <w:r>
        <w:t>Comparative evaluation is data-intensive. The number of model pairs to compare grows quadratically with the number of models. In January 2024, LMSYS evaluated 57 models using 244,000 comparisons. Even though this sounds like a lot of comparisons, this averages only 153 comparisons per model pair (57 models correspond to 1,596 model pairs). This is a small number, considering the wide range of tasks we want a foundation model to do.</w:t>
      </w:r>
    </w:p>
    <w:p w14:paraId="4CAE2930" w14:textId="77777777" w:rsidR="006C08A6" w:rsidRDefault="00000000">
      <w:pPr>
        <w:ind w:left="-5"/>
      </w:pPr>
      <w:r>
        <w:t xml:space="preserve">Fortunately, we don’t always need direct comparisons between two models to determine which one is better. Ranking algorithms typically assume </w:t>
      </w:r>
      <w:r>
        <w:rPr>
          <w:i/>
        </w:rPr>
        <w:t>transitivity</w:t>
      </w:r>
      <w:r>
        <w:t>. If model A ranks higher than B, and B ranks higher than C, then with transitivity, you can infer that A ranks higher than C. This means that if the algorithm is certain that A is better than B and B is better than C, it doesn’t need to compare A against C to know that A is better.</w:t>
      </w:r>
    </w:p>
    <w:p w14:paraId="506EEE07" w14:textId="77777777" w:rsidR="006C08A6" w:rsidRDefault="00000000">
      <w:pPr>
        <w:ind w:left="-5"/>
      </w:pPr>
      <w:r>
        <w:t>However, it’s unclear if this transitivity assumption holds for AI models. Many papers that analyze Elo for AI evaluation cite transitivity assumption as a limitation (</w:t>
      </w:r>
      <w:r>
        <w:rPr>
          <w:color w:val="990000"/>
        </w:rPr>
        <w:t>Boubdir et al.</w:t>
      </w:r>
      <w:r>
        <w:t xml:space="preserve">; </w:t>
      </w:r>
      <w:r>
        <w:rPr>
          <w:color w:val="990000"/>
        </w:rPr>
        <w:t>Balduzzi et al.</w:t>
      </w:r>
      <w:r>
        <w:t xml:space="preserve">; and </w:t>
      </w:r>
      <w:r>
        <w:rPr>
          <w:color w:val="990000"/>
        </w:rPr>
        <w:t>Munos et al.</w:t>
      </w:r>
      <w:r>
        <w:t>). They argued that human preference is not necessarily transitive. In addition, non-transitivity can happen because different model pairs are evaluated by different evaluators and on different prompts.</w:t>
      </w:r>
    </w:p>
    <w:p w14:paraId="4AAE6958" w14:textId="77777777" w:rsidR="006C08A6" w:rsidRDefault="00000000">
      <w:pPr>
        <w:ind w:left="-5"/>
      </w:pPr>
      <w:r>
        <w:t>There’s also the challenge of evaluating new models. With independent evaluation, only the new model needs to be evaluated. With comparative evaluation, the new model has to be evaluated against existing models, which can change the ranking of existing models.</w:t>
      </w:r>
    </w:p>
    <w:p w14:paraId="200C36E7" w14:textId="77777777" w:rsidR="006C08A6" w:rsidRDefault="00000000">
      <w:pPr>
        <w:ind w:left="-5"/>
      </w:pPr>
      <w:r>
        <w:t>This also makes it hard to evaluate private models. Imagine you’ve built a model for your company, using internal data. You want to compare this model with public models to decide whether it would be more beneficial to use a public one. If you want to use comparative evaluation for your model, you’ll likely have to collect your own comparative signals and create your own leaderboard or pay one of those public leaderboards to run private evaluation for you.</w:t>
      </w:r>
    </w:p>
    <w:p w14:paraId="0FA2FEE8" w14:textId="77777777" w:rsidR="006C08A6" w:rsidRDefault="00000000">
      <w:pPr>
        <w:spacing w:after="250"/>
        <w:ind w:left="-5"/>
      </w:pPr>
      <w:r>
        <w:lastRenderedPageBreak/>
        <w:t>The scaling bottleneck can be mitigated with better matching algorithms. So far, we’ve assumed that models are selected randomly for each match, so all model pairs appear in approximately the same number of matches. However, not all model pairs need to be equally compared. Once we’re confident about the outcome of a model pair, we can stop matching them against each other. An efficient matching algorithm should sample matches that reduce the most uncertainty in the overall ranking.</w:t>
      </w:r>
    </w:p>
    <w:p w14:paraId="7B19CC97" w14:textId="77777777" w:rsidR="006C08A6" w:rsidRDefault="00000000">
      <w:pPr>
        <w:pStyle w:val="Heading3"/>
        <w:ind w:left="-5"/>
      </w:pPr>
      <w:r>
        <w:t>Lack of standardization and quality control</w:t>
      </w:r>
    </w:p>
    <w:p w14:paraId="27CAB38B" w14:textId="77777777" w:rsidR="006C08A6" w:rsidRDefault="00000000">
      <w:pPr>
        <w:ind w:left="-5"/>
      </w:pPr>
      <w:r>
        <w:t xml:space="preserve">One way to collect comparative signals is to crowdsource comparisons to the community the way LMSYS Chatbot Arena does. Anyone can go to </w:t>
      </w:r>
      <w:r>
        <w:rPr>
          <w:color w:val="990000"/>
        </w:rPr>
        <w:t>the website</w:t>
      </w:r>
      <w:r>
        <w:t>, enter a prompt, get back two responses from two anonymous models, and vote for the better one. Only after voting is done are the model names revealed.</w:t>
      </w:r>
    </w:p>
    <w:p w14:paraId="2656AA8C" w14:textId="77777777" w:rsidR="006C08A6" w:rsidRDefault="00000000">
      <w:pPr>
        <w:ind w:left="-5"/>
      </w:pPr>
      <w:r>
        <w:t>The benefit of this approach is that it captures a wide range of signals and is relatively difficult to game.</w:t>
      </w:r>
      <w:r>
        <w:rPr>
          <w:sz w:val="18"/>
          <w:vertAlign w:val="superscript"/>
        </w:rPr>
        <w:footnoteReference w:id="24"/>
      </w:r>
      <w:r>
        <w:t xml:space="preserve"> However, the downside is that it’s hard to enforce standardization and quality control.</w:t>
      </w:r>
    </w:p>
    <w:p w14:paraId="65D98889" w14:textId="77777777" w:rsidR="006C08A6" w:rsidRDefault="00000000">
      <w:pPr>
        <w:ind w:left="-5"/>
      </w:pPr>
      <w:r>
        <w:t>First, anyone with internet access can use any prompt to evaluate these models, and there’s no standard on what should constitute a better response. It might be a lot to expect volunteers to fact-check the responses, so they might unknowingly prefer responses that sound better but are factually incorrect.</w:t>
      </w:r>
    </w:p>
    <w:p w14:paraId="6557DB24" w14:textId="77777777" w:rsidR="006C08A6" w:rsidRDefault="00000000">
      <w:pPr>
        <w:ind w:left="-5"/>
      </w:pPr>
      <w:r>
        <w:t>Some people might prefer polite and moderate responses, while others might prefer responses without a filter. This is both good and bad. It’s good because it helps capture human preference in the wild. It’s bad because human preference in the wild might not be appropriate for all use cases. For example, if a user asks a model to tell an inappropriate joke and a model refuses, the user might downvote it. However, as an application developer, you might prefer that the model refuses. Some users might even maliciously pick the toxic responses as the preferred ones, polluting the ranking.</w:t>
      </w:r>
    </w:p>
    <w:p w14:paraId="767ED914" w14:textId="77777777" w:rsidR="006C08A6" w:rsidRDefault="00000000">
      <w:pPr>
        <w:ind w:left="-5"/>
      </w:pPr>
      <w:r>
        <w:t>Second, crowdsourcing comparisons require users to evaluate models outside of their working environments. Without real-world grounding, test prompts might not reflect how these models are being used in the real world. People might just use the first prompts that come to mind and are unlikely to use sophisticated prompting techniques.</w:t>
      </w:r>
    </w:p>
    <w:p w14:paraId="7B5ACEC5" w14:textId="77777777" w:rsidR="006C08A6" w:rsidRDefault="00000000">
      <w:pPr>
        <w:ind w:left="-5"/>
      </w:pPr>
      <w:r>
        <w:t xml:space="preserve">Among </w:t>
      </w:r>
      <w:r>
        <w:rPr>
          <w:color w:val="990000"/>
        </w:rPr>
        <w:t>33,000 prompts</w:t>
      </w:r>
      <w:r>
        <w:t xml:space="preserve"> published by LMSYS Chatbot Arena in 2023, 180 of them are “hello” and “hi”, which account for 0.55% of the data, and this doesn’t yet count variations like “hello!”, “hello.”, “hola”, “hey”, and so on. There are many brainteasers. The question “X has 3 sisters, each has a brother. How many brothers does X have?” was asked 44 times.</w:t>
      </w:r>
    </w:p>
    <w:p w14:paraId="65BB5B2B" w14:textId="77777777" w:rsidR="006C08A6" w:rsidRDefault="00000000">
      <w:pPr>
        <w:ind w:left="-5"/>
      </w:pPr>
      <w:r>
        <w:lastRenderedPageBreak/>
        <w:t>Simple prompts are easy to respond to, making it hard to differentiate models’ performance. Evaluating models using too many simple prompts can pollute the ranking.</w:t>
      </w:r>
    </w:p>
    <w:p w14:paraId="5FA56759" w14:textId="77777777" w:rsidR="006C08A6" w:rsidRDefault="00000000">
      <w:pPr>
        <w:ind w:left="-5"/>
      </w:pPr>
      <w:r>
        <w:t>If a public leaderboard doesn’t support sophisticated context construction, such as augmenting the context with relevant documents retrieved from your internal databases, its ranking won’t reflect how well a model might work for your RAG system. The ability to generate good responses is different from the ability to retrieve the most relevant documents.</w:t>
      </w:r>
    </w:p>
    <w:p w14:paraId="677A9C4B" w14:textId="77777777" w:rsidR="006C08A6" w:rsidRDefault="00000000">
      <w:pPr>
        <w:ind w:left="-5"/>
      </w:pPr>
      <w:r>
        <w:t xml:space="preserve">One potential way to enforce standardization is to limit users to a set of predetermined prompts. However, this might impact the leaderboard’s ability to capture diverse use cases. LMSYS instead lets users use any prompts but then filter out </w:t>
      </w:r>
      <w:r>
        <w:rPr>
          <w:color w:val="990000"/>
        </w:rPr>
        <w:t>hard prompts</w:t>
      </w:r>
      <w:r>
        <w:t xml:space="preserve"> using their internal model and rank models using only these hard prompts.</w:t>
      </w:r>
    </w:p>
    <w:p w14:paraId="65CAD6B7" w14:textId="77777777" w:rsidR="006C08A6" w:rsidRDefault="00000000">
      <w:pPr>
        <w:ind w:left="-5"/>
      </w:pPr>
      <w:r>
        <w:t xml:space="preserve">Another way is to use only evaluators that we can trust. We can train evaluators on the criteria to compare two responses or train them to use practical prompts and sophisticated prompting techniques. This is the approach that Scale uses with </w:t>
      </w:r>
      <w:r>
        <w:rPr>
          <w:color w:val="990000"/>
        </w:rPr>
        <w:t>their private comparative leaderboard</w:t>
      </w:r>
      <w:r>
        <w:t>. The downside of this approach is that it’s expensive and it can severely reduce the number of comparisons we can get.</w:t>
      </w:r>
    </w:p>
    <w:p w14:paraId="319C12C8" w14:textId="77777777" w:rsidR="006C08A6" w:rsidRDefault="00000000">
      <w:pPr>
        <w:ind w:left="-5"/>
      </w:pPr>
      <w:r>
        <w:t>Another option is to incorporate comparative evaluation into your products and let users evaluate models during their workflows. For example, for the code generation task, you can suggest users two code snippets inside the user’s code editor and let them pick the better one. Many chat applications are already doing this. However, as mentioned previously, the user might not know which code snippet is better, since they’re not the expert.</w:t>
      </w:r>
    </w:p>
    <w:p w14:paraId="4B895680" w14:textId="77777777" w:rsidR="006C08A6" w:rsidRDefault="00000000">
      <w:pPr>
        <w:ind w:left="-5"/>
      </w:pPr>
      <w:r>
        <w:t>On top of that, users might not read both options and just randomly click on one. This can introduce a lot of noise to the results. However, the signals from the small percentage of users who vote correctly can sometimes be sufficient to help determine which model is better.</w:t>
      </w:r>
    </w:p>
    <w:p w14:paraId="6EC85027" w14:textId="77777777" w:rsidR="006C08A6" w:rsidRDefault="00000000">
      <w:pPr>
        <w:spacing w:after="235" w:line="254" w:lineRule="auto"/>
        <w:ind w:left="-5"/>
        <w:jc w:val="left"/>
      </w:pPr>
      <w:r>
        <w:rPr>
          <w:i/>
        </w:rPr>
        <w:t>Some teams prefer AI to human evaluators. AI might not be as good as trained human experts but it might be more reliable than random internet users</w:t>
      </w:r>
      <w:r>
        <w:t>.</w:t>
      </w:r>
    </w:p>
    <w:p w14:paraId="15B7D857" w14:textId="77777777" w:rsidR="006C08A6" w:rsidRDefault="00000000">
      <w:pPr>
        <w:pStyle w:val="Heading3"/>
        <w:ind w:left="-5"/>
      </w:pPr>
      <w:r>
        <w:t>From comparative performance to absolute performance</w:t>
      </w:r>
    </w:p>
    <w:p w14:paraId="48F331EF" w14:textId="77777777" w:rsidR="006C08A6" w:rsidRDefault="00000000">
      <w:pPr>
        <w:spacing w:after="197"/>
        <w:ind w:left="-5"/>
      </w:pPr>
      <w:r>
        <w:t>For many applications, we don’t necessarily need the best possible models. We need a model that is good enough. Comparative evaluation tells us which model is better. It doesn’t tell us how good a model is or whether this model is good enough for our use case. Let’s say we obtained the ranking that model B is better than model A. Any of the following scenarios could be valid:</w:t>
      </w:r>
    </w:p>
    <w:p w14:paraId="34CF7DBC" w14:textId="77777777" w:rsidR="006C08A6" w:rsidRDefault="00000000">
      <w:pPr>
        <w:numPr>
          <w:ilvl w:val="0"/>
          <w:numId w:val="10"/>
        </w:numPr>
        <w:spacing w:after="76"/>
        <w:ind w:hanging="254"/>
      </w:pPr>
      <w:r>
        <w:t>Model B is good, but model A is bad.</w:t>
      </w:r>
    </w:p>
    <w:p w14:paraId="17175BF5" w14:textId="77777777" w:rsidR="006C08A6" w:rsidRDefault="00000000">
      <w:pPr>
        <w:numPr>
          <w:ilvl w:val="0"/>
          <w:numId w:val="10"/>
        </w:numPr>
        <w:spacing w:after="76"/>
        <w:ind w:hanging="254"/>
      </w:pPr>
      <w:r>
        <w:t>Both model A and model B are bad.</w:t>
      </w:r>
    </w:p>
    <w:p w14:paraId="762F847E" w14:textId="77777777" w:rsidR="006C08A6" w:rsidRDefault="00000000">
      <w:pPr>
        <w:numPr>
          <w:ilvl w:val="0"/>
          <w:numId w:val="10"/>
        </w:numPr>
        <w:spacing w:after="196"/>
        <w:ind w:hanging="254"/>
      </w:pPr>
      <w:r>
        <w:lastRenderedPageBreak/>
        <w:t>Both model A and model B are good.</w:t>
      </w:r>
    </w:p>
    <w:p w14:paraId="17FAC259" w14:textId="77777777" w:rsidR="006C08A6" w:rsidRDefault="00000000">
      <w:pPr>
        <w:ind w:left="-5"/>
      </w:pPr>
      <w:r>
        <w:t>You need other forms of evaluation to determine which scenario is true.</w:t>
      </w:r>
    </w:p>
    <w:p w14:paraId="09FE8B74" w14:textId="77777777" w:rsidR="006C08A6" w:rsidRDefault="00000000">
      <w:pPr>
        <w:ind w:left="-5"/>
      </w:pPr>
      <w:r>
        <w:t>Imagine that we’re using model A for customer support, and model A can resolve 70% of all the tickets. Consider model B, which wins against A 51% of the time. It’s unclear how this 51% win rate will be converted to the number of requests model B can resolve. Several people have told me that in their experience, a 1% change in the win rate can induce a huge performance boost in some applications but just a minimal boost in other applications.</w:t>
      </w:r>
    </w:p>
    <w:p w14:paraId="0538A0AF" w14:textId="77777777" w:rsidR="006C08A6" w:rsidRDefault="00000000">
      <w:pPr>
        <w:spacing w:after="289"/>
        <w:ind w:left="-5"/>
      </w:pPr>
      <w:r>
        <w:t>When deciding to swap out A for B, human preference isn’t everything. We also care about other factors like cost. Not knowing what performance boost to expect makes it hard to do the cost–benefit analysis. If model B costs twice as much as A, comparative evaluation isn’t sufficient to help us determine if the performance boost from B will be worth the added cost.</w:t>
      </w:r>
    </w:p>
    <w:p w14:paraId="68790E3F" w14:textId="77777777" w:rsidR="006C08A6" w:rsidRDefault="00000000">
      <w:pPr>
        <w:pStyle w:val="Heading2"/>
        <w:ind w:left="-5"/>
      </w:pPr>
      <w:r>
        <w:t>The Future of Comparative Evaluation</w:t>
      </w:r>
    </w:p>
    <w:p w14:paraId="07247B54" w14:textId="77777777" w:rsidR="006C08A6" w:rsidRDefault="00000000">
      <w:pPr>
        <w:ind w:left="-5"/>
      </w:pPr>
      <w:r>
        <w:t xml:space="preserve">Given so many limitations of comparative evaluation, you might wonder if there’s a future to it. There are many benefits to comparative evaluation. First, as discussed in </w:t>
      </w:r>
      <w:r>
        <w:rPr>
          <w:color w:val="990000"/>
        </w:rPr>
        <w:t>“Post-Training” on page 78</w:t>
      </w:r>
      <w:r>
        <w:t>, people have found that it’s easier to compare two outputs than to give each output a concrete score. As models become stronger, surpassing human performance, it might become impossible for human evaluators to give model responses concrete scores. However, human evaluators might still be able to detect the difference, and comparative evaluation might remain the only option. For example, the Llama 2 paper shared that when the model ventures into the kind of writing beyond the ability of the best human annotators, humans can still provide valuable feedback when comparing two answers (</w:t>
      </w:r>
      <w:r>
        <w:rPr>
          <w:color w:val="990000"/>
        </w:rPr>
        <w:t>Touvron et al., 2023</w:t>
      </w:r>
      <w:r>
        <w:t>).</w:t>
      </w:r>
    </w:p>
    <w:p w14:paraId="1D9C0355" w14:textId="77777777" w:rsidR="006C08A6" w:rsidRDefault="00000000">
      <w:pPr>
        <w:ind w:left="-5"/>
      </w:pPr>
      <w:r>
        <w:t>Second, comparative evaluation aims to capture the quality we care about: human preference. It reduces the pressure to have to constantly create more benchmarks to catch up with AI’s ever-expanding capabilities. Unlike benchmarks that become useless when model performance achieves perfect scores, comparative evaluations will never get saturated as long as newer, stronger models are introduced.</w:t>
      </w:r>
    </w:p>
    <w:p w14:paraId="0538A81A" w14:textId="77777777" w:rsidR="006C08A6" w:rsidRDefault="00000000">
      <w:pPr>
        <w:ind w:left="-5"/>
      </w:pPr>
      <w:r>
        <w:t>Comparative evaluation is relatively hard to game, as there’s no easy way to cheat, like training your model on reference data. For this reason, many trust the results of public comparative leaderboards more than any other public leaderboards.</w:t>
      </w:r>
    </w:p>
    <w:p w14:paraId="6995A736" w14:textId="77777777" w:rsidR="006C08A6" w:rsidRDefault="00000000">
      <w:pPr>
        <w:spacing w:after="351"/>
        <w:ind w:left="-5"/>
      </w:pPr>
      <w:r>
        <w:t>Comparative evaluation can give us discriminating signals about models that can’t be obtained otherwise. For offline evaluation, it can be a great addition to evaluation benchmarks. For online evaluation, it can be complementary to A/B testing.</w:t>
      </w:r>
    </w:p>
    <w:p w14:paraId="2D3CC48B" w14:textId="77777777" w:rsidR="006C08A6" w:rsidRDefault="00000000">
      <w:pPr>
        <w:pStyle w:val="Heading1"/>
        <w:ind w:left="-5"/>
      </w:pPr>
      <w:r>
        <w:lastRenderedPageBreak/>
        <w:t>Summary</w:t>
      </w:r>
    </w:p>
    <w:p w14:paraId="0F4CE0FD" w14:textId="77777777" w:rsidR="006C08A6" w:rsidRDefault="00000000">
      <w:pPr>
        <w:ind w:left="-5"/>
      </w:pPr>
      <w:r>
        <w:t>The stronger AI models become, the higher the potential for catastrophic failures, which makes evaluation even more important. At the same time, evaluating openended, powerful models is challenging. These challenges make many teams turn toward human evaluation. Having humans in the loop for sanity checks is always helpful, and in many cases, human evaluation is essential. However, this chapter focused on different approaches to automatic evaluation.</w:t>
      </w:r>
    </w:p>
    <w:p w14:paraId="1360113F" w14:textId="77777777" w:rsidR="006C08A6" w:rsidRDefault="00000000">
      <w:pPr>
        <w:ind w:left="-5"/>
      </w:pPr>
      <w:r>
        <w:t>This chapter starts with a discussion on why foundation models are harder to evaluate than traditional ML models. While many new evaluation techniques are being developed, investments in evaluation still lag behind investments in model and application development.</w:t>
      </w:r>
    </w:p>
    <w:p w14:paraId="67824E5D" w14:textId="77777777" w:rsidR="006C08A6" w:rsidRDefault="00000000">
      <w:pPr>
        <w:ind w:left="-5"/>
      </w:pPr>
      <w:r>
        <w:t>Since many foundation models have a language model component, we zoomed into language modeling metrics, including perplexity and cross entropy. Many people I’ve talked to find these metrics confusing, so I included a section on how to interpret these metrics and leverage them in evaluation and data processing.</w:t>
      </w:r>
    </w:p>
    <w:p w14:paraId="0D0533A2" w14:textId="77777777" w:rsidR="006C08A6" w:rsidRDefault="00000000">
      <w:pPr>
        <w:ind w:left="-5"/>
      </w:pPr>
      <w:r>
        <w:t>This chapter then shifted the focus to the different approaches to evaluate openended responses, including functional correctness, similarity scores, and AI as a judge. The first two evaluation approaches are exact, while AI as a judge evaluation is subjective.</w:t>
      </w:r>
    </w:p>
    <w:p w14:paraId="1B9A8C45" w14:textId="77777777" w:rsidR="006C08A6" w:rsidRDefault="00000000">
      <w:pPr>
        <w:ind w:left="-5"/>
      </w:pPr>
      <w:r>
        <w:t>Unlike exact evaluation, subjective metrics are highly dependent on the judge. Their scores need to be interpreted in the context of what judges are being used. Scores aimed to measure the same quality by different AI judges might not be comparable. AI judges, like all AI applications, should be iterated upon, meaning their judgments change. This makes them unreliable as benchmarks to track an application’s changes over time. While promising, AI judges should be supplemented with exact evaluation, human evaluation, or both.</w:t>
      </w:r>
    </w:p>
    <w:p w14:paraId="1303F24F" w14:textId="77777777" w:rsidR="006C08A6" w:rsidRDefault="00000000">
      <w:pPr>
        <w:ind w:left="-5"/>
      </w:pPr>
      <w:r>
        <w:t>When evaluating models, you can evaluate each model independently, and then rank them by their scores. Alternatively, you can rank them using comparative signals: which of the two models is better? Comparative evaluation is common in sports, especially chess, and is gaining traction in AI evaluation. Both comparative evaluation and the post-training alignment process need preference signals, which are expensive to collect. This motivated the development of preference models: specialized AI judges that predict which response users prefer.</w:t>
      </w:r>
    </w:p>
    <w:p w14:paraId="19737FDE" w14:textId="77777777" w:rsidR="006C08A6" w:rsidRDefault="006C08A6">
      <w:pPr>
        <w:sectPr w:rsidR="006C08A6">
          <w:footerReference w:type="even" r:id="rId81"/>
          <w:footerReference w:type="default" r:id="rId82"/>
          <w:footerReference w:type="first" r:id="rId83"/>
          <w:pgSz w:w="10080" w:h="13230"/>
          <w:pgMar w:top="1010" w:right="1440" w:bottom="1395" w:left="1396" w:header="720" w:footer="810" w:gutter="0"/>
          <w:cols w:space="720"/>
        </w:sectPr>
      </w:pPr>
    </w:p>
    <w:p w14:paraId="7EFD1FD7" w14:textId="77777777" w:rsidR="006C08A6" w:rsidRDefault="00000000">
      <w:pPr>
        <w:spacing w:after="9606"/>
        <w:ind w:left="-5"/>
      </w:pPr>
      <w:r>
        <w:lastRenderedPageBreak/>
        <w:t>While language modeling metrics and hand-designed similarity measurements have existed for some time, AI as a judge and comparative evaluation have only gained adoption with the emergence of foundation models. Many teams are figuring out how to incorporate them into their evaluation pipelines. Figuring out how to build a reliable evaluation pipeline to evaluate open-ended applications is the topic of the next chapter.</w:t>
      </w:r>
    </w:p>
    <w:p w14:paraId="4FBB8426" w14:textId="77777777" w:rsidR="006C08A6" w:rsidRDefault="00000000">
      <w:pPr>
        <w:spacing w:after="405" w:line="259" w:lineRule="auto"/>
        <w:ind w:right="603"/>
        <w:jc w:val="right"/>
      </w:pPr>
      <w:r>
        <w:rPr>
          <w:rFonts w:ascii="Calibri" w:eastAsia="Calibri" w:hAnsi="Calibri" w:cs="Calibri"/>
          <w:b/>
          <w:sz w:val="18"/>
        </w:rPr>
        <w:lastRenderedPageBreak/>
        <w:t xml:space="preserve">Summary </w:t>
      </w:r>
    </w:p>
    <w:p w14:paraId="67C9882F" w14:textId="77777777" w:rsidR="006C08A6" w:rsidRDefault="006C08A6">
      <w:pPr>
        <w:sectPr w:rsidR="006C08A6">
          <w:footerReference w:type="even" r:id="rId84"/>
          <w:footerReference w:type="default" r:id="rId85"/>
          <w:footerReference w:type="first" r:id="rId86"/>
          <w:pgSz w:w="10080" w:h="13230"/>
          <w:pgMar w:top="1440" w:right="1440" w:bottom="1440" w:left="1440" w:header="720" w:footer="810" w:gutter="0"/>
          <w:cols w:space="720"/>
        </w:sectPr>
      </w:pPr>
    </w:p>
    <w:p w14:paraId="397A5FDF" w14:textId="77777777" w:rsidR="006C08A6" w:rsidRDefault="006C08A6">
      <w:pPr>
        <w:spacing w:after="0" w:line="259" w:lineRule="auto"/>
        <w:ind w:left="0" w:firstLine="0"/>
        <w:jc w:val="left"/>
      </w:pPr>
    </w:p>
    <w:sectPr w:rsidR="006C08A6">
      <w:footerReference w:type="even" r:id="rId87"/>
      <w:footerReference w:type="default" r:id="rId88"/>
      <w:footerReference w:type="first" r:id="rId89"/>
      <w:pgSz w:w="10080" w:h="1323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E3639" w14:textId="77777777" w:rsidR="00BD15EF" w:rsidRDefault="00BD15EF">
      <w:pPr>
        <w:spacing w:after="0" w:line="240" w:lineRule="auto"/>
      </w:pPr>
      <w:r>
        <w:separator/>
      </w:r>
    </w:p>
  </w:endnote>
  <w:endnote w:type="continuationSeparator" w:id="0">
    <w:p w14:paraId="76CA328E" w14:textId="77777777" w:rsidR="00BD15EF" w:rsidRDefault="00BD1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D440B" w14:textId="77777777" w:rsidR="006C08A6" w:rsidRDefault="00000000">
    <w:pPr>
      <w:tabs>
        <w:tab w:val="center" w:pos="419"/>
        <w:tab w:val="center" w:pos="166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F2AA97" wp14:editId="2187322B">
              <wp:simplePos x="0" y="0"/>
              <wp:positionH relativeFrom="page">
                <wp:posOffset>914400</wp:posOffset>
              </wp:positionH>
              <wp:positionV relativeFrom="page">
                <wp:posOffset>7713663</wp:posOffset>
              </wp:positionV>
              <wp:extent cx="4572000" cy="3175"/>
              <wp:effectExtent l="0" t="0" r="0" b="0"/>
              <wp:wrapSquare wrapText="bothSides"/>
              <wp:docPr id="40010" name="Group 40010"/>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011" name="Shape 40011"/>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10" style="width:360pt;height:0.25pt;position:absolute;mso-position-horizontal-relative:page;mso-position-horizontal:absolute;margin-left:72pt;mso-position-vertical-relative:page;margin-top:607.375pt;" coordsize="45720,31">
              <v:shape id="Shape 40011" style="position:absolute;width:45720;height:0;left:0;top:0;" coordsize="4572000,0" path="m4572000,0l0,0">
                <v:stroke weight="0.25pt" endcap="round"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18"/>
      </w:rPr>
      <w:t>114</w:t>
    </w:r>
    <w:r>
      <w:rPr>
        <w:rFonts w:ascii="Calibri" w:eastAsia="Calibri" w:hAnsi="Calibri" w:cs="Calibri"/>
        <w:b/>
        <w:sz w:val="18"/>
      </w:rPr>
      <w:fldChar w:fldCharType="end"/>
    </w:r>
    <w:r>
      <w:rPr>
        <w:rFonts w:ascii="Calibri" w:eastAsia="Calibri" w:hAnsi="Calibri" w:cs="Calibri"/>
        <w:b/>
        <w:sz w:val="18"/>
      </w:rPr>
      <w:t xml:space="preserve"> </w:t>
    </w:r>
    <w:r>
      <w:rPr>
        <w:rFonts w:ascii="Calibri" w:eastAsia="Calibri" w:hAnsi="Calibri" w:cs="Calibri"/>
        <w:b/>
        <w:sz w:val="18"/>
      </w:rPr>
      <w:tab/>
      <w:t xml:space="preserve">| </w:t>
    </w:r>
    <w:r>
      <w:rPr>
        <w:rFonts w:ascii="Calibri" w:eastAsia="Calibri" w:hAnsi="Calibri" w:cs="Calibri"/>
        <w:b/>
        <w:sz w:val="18"/>
      </w:rPr>
      <w:tab/>
      <w:t>Chapter 3: Evaluation Methodology</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F9136" w14:textId="77777777" w:rsidR="006C08A6" w:rsidRDefault="00000000">
    <w:pPr>
      <w:tabs>
        <w:tab w:val="center" w:pos="464"/>
        <w:tab w:val="center" w:pos="170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5BDDBD1" wp14:editId="7FA6A81B">
              <wp:simplePos x="0" y="0"/>
              <wp:positionH relativeFrom="page">
                <wp:posOffset>914400</wp:posOffset>
              </wp:positionH>
              <wp:positionV relativeFrom="page">
                <wp:posOffset>7713663</wp:posOffset>
              </wp:positionV>
              <wp:extent cx="4572000" cy="3175"/>
              <wp:effectExtent l="0" t="0" r="0" b="0"/>
              <wp:wrapSquare wrapText="bothSides"/>
              <wp:docPr id="40124" name="Group 40124"/>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125" name="Shape 40125"/>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124" style="width:360pt;height:0.25pt;position:absolute;mso-position-horizontal-relative:page;mso-position-horizontal:absolute;margin-left:72pt;mso-position-vertical-relative:page;margin-top:607.375pt;" coordsize="45720,31">
              <v:shape id="Shape 40125" style="position:absolute;width:45720;height:0;left:0;top:0;" coordsize="4572000,0" path="m4572000,0l0,0">
                <v:stroke weight="0.25pt" endcap="round"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18"/>
      </w:rPr>
      <w:t>114</w:t>
    </w:r>
    <w:r>
      <w:rPr>
        <w:rFonts w:ascii="Calibri" w:eastAsia="Calibri" w:hAnsi="Calibri" w:cs="Calibri"/>
        <w:b/>
        <w:sz w:val="18"/>
      </w:rPr>
      <w:fldChar w:fldCharType="end"/>
    </w:r>
    <w:r>
      <w:rPr>
        <w:rFonts w:ascii="Calibri" w:eastAsia="Calibri" w:hAnsi="Calibri" w:cs="Calibri"/>
        <w:b/>
        <w:sz w:val="18"/>
      </w:rPr>
      <w:t xml:space="preserve"> </w:t>
    </w:r>
    <w:r>
      <w:rPr>
        <w:rFonts w:ascii="Calibri" w:eastAsia="Calibri" w:hAnsi="Calibri" w:cs="Calibri"/>
        <w:b/>
        <w:sz w:val="18"/>
      </w:rPr>
      <w:tab/>
      <w:t xml:space="preserve">| </w:t>
    </w:r>
    <w:r>
      <w:rPr>
        <w:rFonts w:ascii="Calibri" w:eastAsia="Calibri" w:hAnsi="Calibri" w:cs="Calibri"/>
        <w:b/>
        <w:sz w:val="18"/>
      </w:rPr>
      <w:tab/>
      <w:t>Chapter 3: Evaluation Methodology</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94E17" w14:textId="77777777" w:rsidR="006C08A6" w:rsidRDefault="00000000">
    <w:pPr>
      <w:tabs>
        <w:tab w:val="center" w:pos="6248"/>
        <w:tab w:val="center" w:pos="6825"/>
        <w:tab w:val="right" w:pos="725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78C0314" wp14:editId="115EE611">
              <wp:simplePos x="0" y="0"/>
              <wp:positionH relativeFrom="page">
                <wp:posOffset>914400</wp:posOffset>
              </wp:positionH>
              <wp:positionV relativeFrom="page">
                <wp:posOffset>7713663</wp:posOffset>
              </wp:positionV>
              <wp:extent cx="4572000" cy="3175"/>
              <wp:effectExtent l="0" t="0" r="0" b="0"/>
              <wp:wrapSquare wrapText="bothSides"/>
              <wp:docPr id="40111" name="Group 40111"/>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112" name="Shape 40112"/>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111" style="width:360pt;height:0.25pt;position:absolute;mso-position-horizontal-relative:page;mso-position-horizontal:absolute;margin-left:72pt;mso-position-vertical-relative:page;margin-top:607.375pt;" coordsize="45720,31">
              <v:shape id="Shape 40112"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AI as a Judge </w:t>
    </w:r>
    <w:r>
      <w:rPr>
        <w:rFonts w:ascii="Calibri" w:eastAsia="Calibri" w:hAnsi="Calibri" w:cs="Calibri"/>
        <w:b/>
        <w:sz w:val="18"/>
      </w:rPr>
      <w:tab/>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137</w:t>
    </w:r>
    <w:r>
      <w:rPr>
        <w:rFonts w:ascii="Calibri" w:eastAsia="Calibri" w:hAnsi="Calibri" w:cs="Calibri"/>
        <w:b/>
        <w:sz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83E7" w14:textId="77777777" w:rsidR="006C08A6" w:rsidRDefault="00000000">
    <w:pPr>
      <w:tabs>
        <w:tab w:val="center" w:pos="6248"/>
        <w:tab w:val="center" w:pos="6825"/>
        <w:tab w:val="right" w:pos="725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0ACDED0" wp14:editId="02EC93BA">
              <wp:simplePos x="0" y="0"/>
              <wp:positionH relativeFrom="page">
                <wp:posOffset>914400</wp:posOffset>
              </wp:positionH>
              <wp:positionV relativeFrom="page">
                <wp:posOffset>7713663</wp:posOffset>
              </wp:positionV>
              <wp:extent cx="4572000" cy="3175"/>
              <wp:effectExtent l="0" t="0" r="0" b="0"/>
              <wp:wrapSquare wrapText="bothSides"/>
              <wp:docPr id="40099" name="Group 40099"/>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100" name="Shape 40100"/>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99" style="width:360pt;height:0.25pt;position:absolute;mso-position-horizontal-relative:page;mso-position-horizontal:absolute;margin-left:72pt;mso-position-vertical-relative:page;margin-top:607.375pt;" coordsize="45720,31">
              <v:shape id="Shape 40100"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AI as a Judge </w:t>
    </w:r>
    <w:r>
      <w:rPr>
        <w:rFonts w:ascii="Calibri" w:eastAsia="Calibri" w:hAnsi="Calibri" w:cs="Calibri"/>
        <w:b/>
        <w:sz w:val="18"/>
      </w:rPr>
      <w:tab/>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137</w:t>
    </w:r>
    <w:r>
      <w:rPr>
        <w:rFonts w:ascii="Calibri" w:eastAsia="Calibri" w:hAnsi="Calibri" w:cs="Calibri"/>
        <w:b/>
        <w:sz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DCB89" w14:textId="77777777" w:rsidR="006C08A6" w:rsidRDefault="00000000">
    <w:pPr>
      <w:tabs>
        <w:tab w:val="center" w:pos="464"/>
        <w:tab w:val="center" w:pos="170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8EC08F5" wp14:editId="222081CC">
              <wp:simplePos x="0" y="0"/>
              <wp:positionH relativeFrom="page">
                <wp:posOffset>914400</wp:posOffset>
              </wp:positionH>
              <wp:positionV relativeFrom="page">
                <wp:posOffset>7713663</wp:posOffset>
              </wp:positionV>
              <wp:extent cx="4572000" cy="3175"/>
              <wp:effectExtent l="0" t="0" r="0" b="0"/>
              <wp:wrapSquare wrapText="bothSides"/>
              <wp:docPr id="40162" name="Group 40162"/>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163" name="Shape 40163"/>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162" style="width:360pt;height:0.25pt;position:absolute;mso-position-horizontal-relative:page;mso-position-horizontal:absolute;margin-left:72pt;mso-position-vertical-relative:page;margin-top:607.375pt;" coordsize="45720,31">
              <v:shape id="Shape 40163" style="position:absolute;width:45720;height:0;left:0;top:0;" coordsize="4572000,0" path="m4572000,0l0,0">
                <v:stroke weight="0.25pt" endcap="round"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18"/>
      </w:rPr>
      <w:t>114</w:t>
    </w:r>
    <w:r>
      <w:rPr>
        <w:rFonts w:ascii="Calibri" w:eastAsia="Calibri" w:hAnsi="Calibri" w:cs="Calibri"/>
        <w:b/>
        <w:sz w:val="18"/>
      </w:rPr>
      <w:fldChar w:fldCharType="end"/>
    </w:r>
    <w:r>
      <w:rPr>
        <w:rFonts w:ascii="Calibri" w:eastAsia="Calibri" w:hAnsi="Calibri" w:cs="Calibri"/>
        <w:b/>
        <w:sz w:val="18"/>
      </w:rPr>
      <w:t xml:space="preserve"> </w:t>
    </w:r>
    <w:r>
      <w:rPr>
        <w:rFonts w:ascii="Calibri" w:eastAsia="Calibri" w:hAnsi="Calibri" w:cs="Calibri"/>
        <w:b/>
        <w:sz w:val="18"/>
      </w:rPr>
      <w:tab/>
      <w:t xml:space="preserve">| </w:t>
    </w:r>
    <w:r>
      <w:rPr>
        <w:rFonts w:ascii="Calibri" w:eastAsia="Calibri" w:hAnsi="Calibri" w:cs="Calibri"/>
        <w:b/>
        <w:sz w:val="18"/>
      </w:rPr>
      <w:tab/>
      <w:t>Chapter 3: Evaluation Methodology</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07C4D" w14:textId="77777777" w:rsidR="006C08A6" w:rsidRDefault="00000000">
    <w:pPr>
      <w:tabs>
        <w:tab w:val="center" w:pos="5280"/>
        <w:tab w:val="center" w:pos="6825"/>
        <w:tab w:val="right" w:pos="724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42031B8" wp14:editId="72204C0A">
              <wp:simplePos x="0" y="0"/>
              <wp:positionH relativeFrom="page">
                <wp:posOffset>914400</wp:posOffset>
              </wp:positionH>
              <wp:positionV relativeFrom="page">
                <wp:posOffset>7713663</wp:posOffset>
              </wp:positionV>
              <wp:extent cx="4572000" cy="3175"/>
              <wp:effectExtent l="0" t="0" r="0" b="0"/>
              <wp:wrapSquare wrapText="bothSides"/>
              <wp:docPr id="40149" name="Group 40149"/>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150" name="Shape 40150"/>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149" style="width:360pt;height:0.25pt;position:absolute;mso-position-horizontal-relative:page;mso-position-horizontal:absolute;margin-left:72pt;mso-position-vertical-relative:page;margin-top:607.375pt;" coordsize="45720,31">
              <v:shape id="Shape 40150"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Ranking Models with Comparative Evaluation </w:t>
    </w:r>
    <w:r>
      <w:rPr>
        <w:rFonts w:ascii="Calibri" w:eastAsia="Calibri" w:hAnsi="Calibri" w:cs="Calibri"/>
        <w:b/>
        <w:sz w:val="18"/>
      </w:rPr>
      <w:tab/>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149</w:t>
    </w:r>
    <w:r>
      <w:rPr>
        <w:rFonts w:ascii="Calibri" w:eastAsia="Calibri" w:hAnsi="Calibri" w:cs="Calibri"/>
        <w:b/>
        <w:sz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59F08" w14:textId="77777777" w:rsidR="006C08A6" w:rsidRDefault="00000000">
    <w:pPr>
      <w:tabs>
        <w:tab w:val="center" w:pos="5280"/>
        <w:tab w:val="center" w:pos="6825"/>
        <w:tab w:val="right" w:pos="724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C12008F" wp14:editId="39AC6190">
              <wp:simplePos x="0" y="0"/>
              <wp:positionH relativeFrom="page">
                <wp:posOffset>914400</wp:posOffset>
              </wp:positionH>
              <wp:positionV relativeFrom="page">
                <wp:posOffset>7713663</wp:posOffset>
              </wp:positionV>
              <wp:extent cx="4572000" cy="3175"/>
              <wp:effectExtent l="0" t="0" r="0" b="0"/>
              <wp:wrapSquare wrapText="bothSides"/>
              <wp:docPr id="40137" name="Group 40137"/>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138" name="Shape 40138"/>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137" style="width:360pt;height:0.25pt;position:absolute;mso-position-horizontal-relative:page;mso-position-horizontal:absolute;margin-left:72pt;mso-position-vertical-relative:page;margin-top:607.375pt;" coordsize="45720,31">
              <v:shape id="Shape 40138"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Ranking Models with Comparative Evaluation </w:t>
    </w:r>
    <w:r>
      <w:rPr>
        <w:rFonts w:ascii="Calibri" w:eastAsia="Calibri" w:hAnsi="Calibri" w:cs="Calibri"/>
        <w:b/>
        <w:sz w:val="18"/>
      </w:rPr>
      <w:tab/>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149</w:t>
    </w:r>
    <w:r>
      <w:rPr>
        <w:rFonts w:ascii="Calibri" w:eastAsia="Calibri" w:hAnsi="Calibri" w:cs="Calibri"/>
        <w:b/>
        <w:sz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095A2" w14:textId="77777777" w:rsidR="006C08A6" w:rsidRDefault="00000000">
    <w:pPr>
      <w:tabs>
        <w:tab w:val="center" w:pos="6781"/>
        <w:tab w:val="right" w:pos="72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527B592" wp14:editId="7F6D56DC">
              <wp:simplePos x="0" y="0"/>
              <wp:positionH relativeFrom="page">
                <wp:posOffset>914400</wp:posOffset>
              </wp:positionH>
              <wp:positionV relativeFrom="page">
                <wp:posOffset>7713663</wp:posOffset>
              </wp:positionV>
              <wp:extent cx="4572000" cy="3175"/>
              <wp:effectExtent l="0" t="0" r="0" b="0"/>
              <wp:wrapSquare wrapText="bothSides"/>
              <wp:docPr id="40193" name="Group 40193"/>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194" name="Shape 40194"/>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193" style="width:360pt;height:0.25pt;position:absolute;mso-position-horizontal-relative:page;mso-position-horizontal:absolute;margin-left:72pt;mso-position-vertical-relative:page;margin-top:607.375pt;" coordsize="45720,31">
              <v:shape id="Shape 40194"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115</w:t>
    </w:r>
    <w:r>
      <w:rPr>
        <w:rFonts w:ascii="Calibri" w:eastAsia="Calibri" w:hAnsi="Calibri" w:cs="Calibri"/>
        <w:b/>
        <w:sz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9FB1F" w14:textId="77777777" w:rsidR="006C08A6" w:rsidRDefault="00000000">
    <w:pPr>
      <w:tabs>
        <w:tab w:val="center" w:pos="6781"/>
        <w:tab w:val="right" w:pos="72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0AA384D" wp14:editId="3D3E978C">
              <wp:simplePos x="0" y="0"/>
              <wp:positionH relativeFrom="page">
                <wp:posOffset>914400</wp:posOffset>
              </wp:positionH>
              <wp:positionV relativeFrom="page">
                <wp:posOffset>7713663</wp:posOffset>
              </wp:positionV>
              <wp:extent cx="4572000" cy="3175"/>
              <wp:effectExtent l="0" t="0" r="0" b="0"/>
              <wp:wrapSquare wrapText="bothSides"/>
              <wp:docPr id="40183" name="Group 40183"/>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184" name="Shape 40184"/>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183" style="width:360pt;height:0.25pt;position:absolute;mso-position-horizontal-relative:page;mso-position-horizontal:absolute;margin-left:72pt;mso-position-vertical-relative:page;margin-top:607.375pt;" coordsize="45720,31">
              <v:shape id="Shape 40184"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115</w:t>
    </w:r>
    <w:r>
      <w:rPr>
        <w:rFonts w:ascii="Calibri" w:eastAsia="Calibri" w:hAnsi="Calibri" w:cs="Calibri"/>
        <w:b/>
        <w:sz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0603E" w14:textId="77777777" w:rsidR="006C08A6" w:rsidRDefault="00000000">
    <w:pPr>
      <w:tabs>
        <w:tab w:val="center" w:pos="6781"/>
        <w:tab w:val="right" w:pos="72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548AAD4" wp14:editId="6FCE601A">
              <wp:simplePos x="0" y="0"/>
              <wp:positionH relativeFrom="page">
                <wp:posOffset>914400</wp:posOffset>
              </wp:positionH>
              <wp:positionV relativeFrom="page">
                <wp:posOffset>7713663</wp:posOffset>
              </wp:positionV>
              <wp:extent cx="4572000" cy="3175"/>
              <wp:effectExtent l="0" t="0" r="0" b="0"/>
              <wp:wrapSquare wrapText="bothSides"/>
              <wp:docPr id="40173" name="Group 40173"/>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174" name="Shape 40174"/>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173" style="width:360pt;height:0.25pt;position:absolute;mso-position-horizontal-relative:page;mso-position-horizontal:absolute;margin-left:72pt;mso-position-vertical-relative:page;margin-top:607.375pt;" coordsize="45720,31">
              <v:shape id="Shape 40174"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115</w:t>
    </w:r>
    <w:r>
      <w:rPr>
        <w:rFonts w:ascii="Calibri" w:eastAsia="Calibri" w:hAnsi="Calibri" w:cs="Calibri"/>
        <w:b/>
        <w:sz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2A878" w14:textId="77777777" w:rsidR="006C08A6" w:rsidRDefault="006C08A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ACBE" w14:textId="77777777" w:rsidR="006C08A6" w:rsidRDefault="00000000">
    <w:pPr>
      <w:tabs>
        <w:tab w:val="center" w:pos="6781"/>
        <w:tab w:val="right" w:pos="72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A9C6C8B" wp14:editId="3DFCF0EE">
              <wp:simplePos x="0" y="0"/>
              <wp:positionH relativeFrom="page">
                <wp:posOffset>914400</wp:posOffset>
              </wp:positionH>
              <wp:positionV relativeFrom="page">
                <wp:posOffset>7713663</wp:posOffset>
              </wp:positionV>
              <wp:extent cx="4572000" cy="3175"/>
              <wp:effectExtent l="0" t="0" r="0" b="0"/>
              <wp:wrapSquare wrapText="bothSides"/>
              <wp:docPr id="39997" name="Group 39997"/>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39998" name="Shape 39998"/>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97" style="width:360pt;height:0.25pt;position:absolute;mso-position-horizontal-relative:page;mso-position-horizontal:absolute;margin-left:72pt;mso-position-vertical-relative:page;margin-top:607.375pt;" coordsize="45720,31">
              <v:shape id="Shape 39998"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115</w:t>
    </w:r>
    <w:r>
      <w:rPr>
        <w:rFonts w:ascii="Calibri" w:eastAsia="Calibri" w:hAnsi="Calibri" w:cs="Calibri"/>
        <w:b/>
        <w:sz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7EB9D" w14:textId="77777777" w:rsidR="006C08A6" w:rsidRDefault="006C08A6">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F6DB" w14:textId="77777777" w:rsidR="006C08A6" w:rsidRDefault="006C08A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9D6A2" w14:textId="77777777" w:rsidR="006C08A6"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B3AB89" wp14:editId="26C86EC7">
              <wp:simplePos x="0" y="0"/>
              <wp:positionH relativeFrom="page">
                <wp:posOffset>914400</wp:posOffset>
              </wp:positionH>
              <wp:positionV relativeFrom="page">
                <wp:posOffset>7713663</wp:posOffset>
              </wp:positionV>
              <wp:extent cx="4572000" cy="3175"/>
              <wp:effectExtent l="0" t="0" r="0" b="0"/>
              <wp:wrapSquare wrapText="bothSides"/>
              <wp:docPr id="39987" name="Group 39987"/>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39988" name="Shape 39988"/>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87" style="width:360pt;height:0.25pt;position:absolute;mso-position-horizontal-relative:page;mso-position-horizontal:absolute;margin-left:72pt;mso-position-vertical-relative:page;margin-top:607.375pt;" coordsize="45720,31">
              <v:shape id="Shape 39988" style="position:absolute;width:45720;height:0;left:0;top:0;" coordsize="4572000,0" path="m4572000,0l0,0">
                <v:stroke weight="0.25pt" endcap="round"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18"/>
      </w:rPr>
      <w:t>113</w:t>
    </w:r>
    <w:r>
      <w:rPr>
        <w:rFonts w:ascii="Calibri" w:eastAsia="Calibri" w:hAnsi="Calibri" w:cs="Calibri"/>
        <w:b/>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F7416" w14:textId="77777777" w:rsidR="006C08A6" w:rsidRDefault="00000000">
    <w:pPr>
      <w:tabs>
        <w:tab w:val="center" w:pos="419"/>
        <w:tab w:val="center" w:pos="166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24E911F" wp14:editId="4B224161">
              <wp:simplePos x="0" y="0"/>
              <wp:positionH relativeFrom="page">
                <wp:posOffset>914400</wp:posOffset>
              </wp:positionH>
              <wp:positionV relativeFrom="page">
                <wp:posOffset>7713663</wp:posOffset>
              </wp:positionV>
              <wp:extent cx="4572000" cy="3175"/>
              <wp:effectExtent l="0" t="0" r="0" b="0"/>
              <wp:wrapSquare wrapText="bothSides"/>
              <wp:docPr id="40048" name="Group 40048"/>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049" name="Shape 40049"/>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48" style="width:360pt;height:0.25pt;position:absolute;mso-position-horizontal-relative:page;mso-position-horizontal:absolute;margin-left:72pt;mso-position-vertical-relative:page;margin-top:607.375pt;" coordsize="45720,31">
              <v:shape id="Shape 40049" style="position:absolute;width:45720;height:0;left:0;top:0;" coordsize="4572000,0" path="m4572000,0l0,0">
                <v:stroke weight="0.25pt" endcap="round"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18"/>
      </w:rPr>
      <w:t>114</w:t>
    </w:r>
    <w:r>
      <w:rPr>
        <w:rFonts w:ascii="Calibri" w:eastAsia="Calibri" w:hAnsi="Calibri" w:cs="Calibri"/>
        <w:b/>
        <w:sz w:val="18"/>
      </w:rPr>
      <w:fldChar w:fldCharType="end"/>
    </w:r>
    <w:r>
      <w:rPr>
        <w:rFonts w:ascii="Calibri" w:eastAsia="Calibri" w:hAnsi="Calibri" w:cs="Calibri"/>
        <w:b/>
        <w:sz w:val="18"/>
      </w:rPr>
      <w:t xml:space="preserve"> </w:t>
    </w:r>
    <w:r>
      <w:rPr>
        <w:rFonts w:ascii="Calibri" w:eastAsia="Calibri" w:hAnsi="Calibri" w:cs="Calibri"/>
        <w:b/>
        <w:sz w:val="18"/>
      </w:rPr>
      <w:tab/>
      <w:t xml:space="preserve">| </w:t>
    </w:r>
    <w:r>
      <w:rPr>
        <w:rFonts w:ascii="Calibri" w:eastAsia="Calibri" w:hAnsi="Calibri" w:cs="Calibri"/>
        <w:b/>
        <w:sz w:val="18"/>
      </w:rPr>
      <w:tab/>
      <w:t>Chapter 3: Evaluation Methodology</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4A89" w14:textId="77777777" w:rsidR="006C08A6" w:rsidRDefault="00000000">
    <w:pPr>
      <w:tabs>
        <w:tab w:val="center" w:pos="5306"/>
        <w:tab w:val="center" w:pos="6781"/>
        <w:tab w:val="right" w:pos="72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330E76" wp14:editId="4DBEB81B">
              <wp:simplePos x="0" y="0"/>
              <wp:positionH relativeFrom="page">
                <wp:posOffset>914400</wp:posOffset>
              </wp:positionH>
              <wp:positionV relativeFrom="page">
                <wp:posOffset>7713663</wp:posOffset>
              </wp:positionV>
              <wp:extent cx="4572000" cy="3175"/>
              <wp:effectExtent l="0" t="0" r="0" b="0"/>
              <wp:wrapSquare wrapText="bothSides"/>
              <wp:docPr id="40035" name="Group 40035"/>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036" name="Shape 40036"/>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35" style="width:360pt;height:0.25pt;position:absolute;mso-position-horizontal-relative:page;mso-position-horizontal:absolute;margin-left:72pt;mso-position-vertical-relative:page;margin-top:607.375pt;" coordsize="45720,31">
              <v:shape id="Shape 40036"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Understanding Language Modeling Metrics </w:t>
    </w:r>
    <w:r>
      <w:rPr>
        <w:rFonts w:ascii="Calibri" w:eastAsia="Calibri" w:hAnsi="Calibri" w:cs="Calibri"/>
        <w:b/>
        <w:sz w:val="18"/>
      </w:rPr>
      <w:tab/>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119</w:t>
    </w:r>
    <w:r>
      <w:rPr>
        <w:rFonts w:ascii="Calibri" w:eastAsia="Calibri" w:hAnsi="Calibri" w:cs="Calibri"/>
        <w:b/>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F3DA6" w14:textId="77777777" w:rsidR="006C08A6" w:rsidRDefault="00000000">
    <w:pPr>
      <w:tabs>
        <w:tab w:val="center" w:pos="5306"/>
        <w:tab w:val="center" w:pos="6781"/>
        <w:tab w:val="right" w:pos="72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8A9CBBC" wp14:editId="14F9C2AB">
              <wp:simplePos x="0" y="0"/>
              <wp:positionH relativeFrom="page">
                <wp:posOffset>914400</wp:posOffset>
              </wp:positionH>
              <wp:positionV relativeFrom="page">
                <wp:posOffset>7713663</wp:posOffset>
              </wp:positionV>
              <wp:extent cx="4572000" cy="3175"/>
              <wp:effectExtent l="0" t="0" r="0" b="0"/>
              <wp:wrapSquare wrapText="bothSides"/>
              <wp:docPr id="40023" name="Group 40023"/>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024" name="Shape 40024"/>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23" style="width:360pt;height:0.25pt;position:absolute;mso-position-horizontal-relative:page;mso-position-horizontal:absolute;margin-left:72pt;mso-position-vertical-relative:page;margin-top:607.375pt;" coordsize="45720,31">
              <v:shape id="Shape 40024"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Understanding Language Modeling Metrics </w:t>
    </w:r>
    <w:r>
      <w:rPr>
        <w:rFonts w:ascii="Calibri" w:eastAsia="Calibri" w:hAnsi="Calibri" w:cs="Calibri"/>
        <w:b/>
        <w:sz w:val="18"/>
      </w:rPr>
      <w:tab/>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119</w:t>
    </w:r>
    <w:r>
      <w:rPr>
        <w:rFonts w:ascii="Calibri" w:eastAsia="Calibri" w:hAnsi="Calibri" w:cs="Calibri"/>
        <w:b/>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B3DD0" w14:textId="77777777" w:rsidR="006C08A6" w:rsidRDefault="00000000">
    <w:pPr>
      <w:tabs>
        <w:tab w:val="center" w:pos="464"/>
        <w:tab w:val="center" w:pos="170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CADC5A7" wp14:editId="418485F6">
              <wp:simplePos x="0" y="0"/>
              <wp:positionH relativeFrom="page">
                <wp:posOffset>914400</wp:posOffset>
              </wp:positionH>
              <wp:positionV relativeFrom="page">
                <wp:posOffset>7713663</wp:posOffset>
              </wp:positionV>
              <wp:extent cx="4572000" cy="3175"/>
              <wp:effectExtent l="0" t="0" r="0" b="0"/>
              <wp:wrapSquare wrapText="bothSides"/>
              <wp:docPr id="40086" name="Group 40086"/>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087" name="Shape 40087"/>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86" style="width:360pt;height:0.25pt;position:absolute;mso-position-horizontal-relative:page;mso-position-horizontal:absolute;margin-left:72pt;mso-position-vertical-relative:page;margin-top:607.375pt;" coordsize="45720,31">
              <v:shape id="Shape 40087" style="position:absolute;width:45720;height:0;left:0;top:0;" coordsize="4572000,0" path="m4572000,0l0,0">
                <v:stroke weight="0.25pt" endcap="round"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18"/>
      </w:rPr>
      <w:t>114</w:t>
    </w:r>
    <w:r>
      <w:rPr>
        <w:rFonts w:ascii="Calibri" w:eastAsia="Calibri" w:hAnsi="Calibri" w:cs="Calibri"/>
        <w:b/>
        <w:sz w:val="18"/>
      </w:rPr>
      <w:fldChar w:fldCharType="end"/>
    </w:r>
    <w:r>
      <w:rPr>
        <w:rFonts w:ascii="Calibri" w:eastAsia="Calibri" w:hAnsi="Calibri" w:cs="Calibri"/>
        <w:b/>
        <w:sz w:val="18"/>
      </w:rPr>
      <w:t xml:space="preserve"> </w:t>
    </w:r>
    <w:r>
      <w:rPr>
        <w:rFonts w:ascii="Calibri" w:eastAsia="Calibri" w:hAnsi="Calibri" w:cs="Calibri"/>
        <w:b/>
        <w:sz w:val="18"/>
      </w:rPr>
      <w:tab/>
      <w:t xml:space="preserve">| </w:t>
    </w:r>
    <w:r>
      <w:rPr>
        <w:rFonts w:ascii="Calibri" w:eastAsia="Calibri" w:hAnsi="Calibri" w:cs="Calibri"/>
        <w:b/>
        <w:sz w:val="18"/>
      </w:rPr>
      <w:tab/>
      <w:t>Chapter 3: Evaluation Methodology</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6141D" w14:textId="77777777" w:rsidR="006C08A6" w:rsidRDefault="00000000">
    <w:pPr>
      <w:tabs>
        <w:tab w:val="center" w:pos="6139"/>
        <w:tab w:val="center" w:pos="6825"/>
        <w:tab w:val="right" w:pos="724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4141698" wp14:editId="61B39218">
              <wp:simplePos x="0" y="0"/>
              <wp:positionH relativeFrom="page">
                <wp:posOffset>914400</wp:posOffset>
              </wp:positionH>
              <wp:positionV relativeFrom="page">
                <wp:posOffset>7713663</wp:posOffset>
              </wp:positionV>
              <wp:extent cx="4572000" cy="3175"/>
              <wp:effectExtent l="0" t="0" r="0" b="0"/>
              <wp:wrapSquare wrapText="bothSides"/>
              <wp:docPr id="40073" name="Group 40073"/>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074" name="Shape 40074"/>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73" style="width:360pt;height:0.25pt;position:absolute;mso-position-horizontal-relative:page;mso-position-horizontal:absolute;margin-left:72pt;mso-position-vertical-relative:page;margin-top:607.375pt;" coordsize="45720,31">
              <v:shape id="Shape 40074"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Exact Evaluation </w:t>
    </w:r>
    <w:r>
      <w:rPr>
        <w:rFonts w:ascii="Calibri" w:eastAsia="Calibri" w:hAnsi="Calibri" w:cs="Calibri"/>
        <w:b/>
        <w:sz w:val="18"/>
      </w:rPr>
      <w:tab/>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125</w:t>
    </w:r>
    <w:r>
      <w:rPr>
        <w:rFonts w:ascii="Calibri" w:eastAsia="Calibri" w:hAnsi="Calibri" w:cs="Calibri"/>
        <w:b/>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9D047" w14:textId="77777777" w:rsidR="006C08A6" w:rsidRDefault="00000000">
    <w:pPr>
      <w:tabs>
        <w:tab w:val="center" w:pos="6139"/>
        <w:tab w:val="center" w:pos="6825"/>
        <w:tab w:val="right" w:pos="724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F88A7F" wp14:editId="19E5F392">
              <wp:simplePos x="0" y="0"/>
              <wp:positionH relativeFrom="page">
                <wp:posOffset>914400</wp:posOffset>
              </wp:positionH>
              <wp:positionV relativeFrom="page">
                <wp:posOffset>7713663</wp:posOffset>
              </wp:positionV>
              <wp:extent cx="4572000" cy="3175"/>
              <wp:effectExtent l="0" t="0" r="0" b="0"/>
              <wp:wrapSquare wrapText="bothSides"/>
              <wp:docPr id="40061" name="Group 40061"/>
              <wp:cNvGraphicFramePr/>
              <a:graphic xmlns:a="http://schemas.openxmlformats.org/drawingml/2006/main">
                <a:graphicData uri="http://schemas.microsoft.com/office/word/2010/wordprocessingGroup">
                  <wpg:wgp>
                    <wpg:cNvGrpSpPr/>
                    <wpg:grpSpPr>
                      <a:xfrm>
                        <a:off x="0" y="0"/>
                        <a:ext cx="4572000" cy="3175"/>
                        <a:chOff x="0" y="0"/>
                        <a:chExt cx="4572000" cy="3175"/>
                      </a:xfrm>
                    </wpg:grpSpPr>
                    <wps:wsp>
                      <wps:cNvPr id="40062" name="Shape 40062"/>
                      <wps:cNvSpPr/>
                      <wps:spPr>
                        <a:xfrm>
                          <a:off x="0" y="0"/>
                          <a:ext cx="4572000" cy="0"/>
                        </a:xfrm>
                        <a:custGeom>
                          <a:avLst/>
                          <a:gdLst/>
                          <a:ahLst/>
                          <a:cxnLst/>
                          <a:rect l="0" t="0" r="0" b="0"/>
                          <a:pathLst>
                            <a:path w="4572000">
                              <a:moveTo>
                                <a:pt x="4572000" y="0"/>
                              </a:moveTo>
                              <a:lnTo>
                                <a:pt x="0" y="0"/>
                              </a:lnTo>
                            </a:path>
                          </a:pathLst>
                        </a:custGeom>
                        <a:ln w="317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61" style="width:360pt;height:0.25pt;position:absolute;mso-position-horizontal-relative:page;mso-position-horizontal:absolute;margin-left:72pt;mso-position-vertical-relative:page;margin-top:607.375pt;" coordsize="45720,31">
              <v:shape id="Shape 40062" style="position:absolute;width:45720;height:0;left:0;top:0;" coordsize="4572000,0" path="m4572000,0l0,0">
                <v:stroke weight="0.2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b/>
        <w:sz w:val="18"/>
      </w:rPr>
      <w:t xml:space="preserve">Exact Evaluation </w:t>
    </w:r>
    <w:r>
      <w:rPr>
        <w:rFonts w:ascii="Calibri" w:eastAsia="Calibri" w:hAnsi="Calibri" w:cs="Calibri"/>
        <w:b/>
        <w:sz w:val="18"/>
      </w:rPr>
      <w:tab/>
      <w:t xml:space="preserve">| </w:t>
    </w:r>
    <w:r>
      <w:rPr>
        <w:rFonts w:ascii="Calibri" w:eastAsia="Calibri" w:hAnsi="Calibri" w:cs="Calibri"/>
        <w:b/>
        <w:sz w:val="18"/>
      </w:rPr>
      <w:tab/>
    </w:r>
    <w:r>
      <w:fldChar w:fldCharType="begin"/>
    </w:r>
    <w:r>
      <w:instrText xml:space="preserve"> PAGE   \* MERGEFORMAT </w:instrText>
    </w:r>
    <w:r>
      <w:fldChar w:fldCharType="separate"/>
    </w:r>
    <w:r>
      <w:rPr>
        <w:rFonts w:ascii="Calibri" w:eastAsia="Calibri" w:hAnsi="Calibri" w:cs="Calibri"/>
        <w:b/>
        <w:sz w:val="18"/>
      </w:rPr>
      <w:t>125</w:t>
    </w:r>
    <w:r>
      <w:rPr>
        <w:rFonts w:ascii="Calibri" w:eastAsia="Calibri" w:hAnsi="Calibri" w:cs="Calibri"/>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74F3D" w14:textId="77777777" w:rsidR="00BD15EF" w:rsidRDefault="00BD15EF">
      <w:pPr>
        <w:spacing w:after="0" w:line="259" w:lineRule="auto"/>
        <w:ind w:left="160" w:hanging="137"/>
        <w:jc w:val="left"/>
      </w:pPr>
      <w:r>
        <w:separator/>
      </w:r>
    </w:p>
  </w:footnote>
  <w:footnote w:type="continuationSeparator" w:id="0">
    <w:p w14:paraId="209559B4" w14:textId="77777777" w:rsidR="00BD15EF" w:rsidRDefault="00BD15EF">
      <w:pPr>
        <w:spacing w:after="0" w:line="259" w:lineRule="auto"/>
        <w:ind w:left="160" w:hanging="137"/>
        <w:jc w:val="left"/>
      </w:pPr>
      <w:r>
        <w:continuationSeparator/>
      </w:r>
    </w:p>
  </w:footnote>
  <w:footnote w:id="1">
    <w:p w14:paraId="5B49C486" w14:textId="77777777" w:rsidR="006C08A6" w:rsidRDefault="00000000">
      <w:pPr>
        <w:pStyle w:val="footnotedescription"/>
        <w:ind w:left="160"/>
      </w:pPr>
      <w:r>
        <w:rPr>
          <w:rStyle w:val="footnotemark"/>
        </w:rPr>
        <w:footnoteRef/>
      </w:r>
      <w:r>
        <w:t xml:space="preserve"> In December 2023, Greg Brockman, an OpenAI cofounder, </w:t>
      </w:r>
      <w:r>
        <w:rPr>
          <w:color w:val="990000"/>
        </w:rPr>
        <w:t>tweeted</w:t>
      </w:r>
      <w:r>
        <w:t xml:space="preserve"> that “evals are surprisingly often all you need.”</w:t>
      </w:r>
    </w:p>
  </w:footnote>
  <w:footnote w:id="2">
    <w:p w14:paraId="380524EB" w14:textId="77777777" w:rsidR="006C08A6" w:rsidRDefault="00000000">
      <w:pPr>
        <w:pStyle w:val="footnotedescription"/>
        <w:spacing w:after="122"/>
        <w:ind w:left="23" w:firstLine="0"/>
      </w:pPr>
      <w:r>
        <w:rPr>
          <w:rStyle w:val="footnotemark"/>
        </w:rPr>
        <w:footnoteRef/>
      </w:r>
      <w:r>
        <w:t xml:space="preserve"> A 2023 study by </w:t>
      </w:r>
      <w:r>
        <w:rPr>
          <w:color w:val="990000"/>
        </w:rPr>
        <w:t>a16z</w:t>
      </w:r>
      <w:r>
        <w:t xml:space="preserve"> showed that 6 out of 70 decision makers evaluated models by word of mouth.</w:t>
      </w:r>
    </w:p>
  </w:footnote>
  <w:footnote w:id="3">
    <w:p w14:paraId="386615DA" w14:textId="77777777" w:rsidR="006C08A6" w:rsidRDefault="00000000">
      <w:pPr>
        <w:pStyle w:val="footnotedescription"/>
        <w:spacing w:after="120"/>
        <w:ind w:left="23" w:firstLine="0"/>
      </w:pPr>
      <w:r>
        <w:rPr>
          <w:rStyle w:val="footnotemark"/>
        </w:rPr>
        <w:footnoteRef/>
      </w:r>
      <w:r>
        <w:t xml:space="preserve"> Also known as </w:t>
      </w:r>
      <w:r>
        <w:rPr>
          <w:i/>
        </w:rPr>
        <w:t>vibe check</w:t>
      </w:r>
      <w:r>
        <w:t>.</w:t>
      </w:r>
    </w:p>
  </w:footnote>
  <w:footnote w:id="4">
    <w:p w14:paraId="3F6114CD" w14:textId="77777777" w:rsidR="006C08A6" w:rsidRDefault="00000000">
      <w:pPr>
        <w:pStyle w:val="footnotedescription"/>
        <w:ind w:left="160"/>
      </w:pPr>
      <w:r>
        <w:rPr>
          <w:rStyle w:val="footnotemark"/>
        </w:rPr>
        <w:footnoteRef/>
      </w:r>
      <w:r>
        <w:t xml:space="preserve"> When OpenAI’s GPT-o1 came out in September 2024, the </w:t>
      </w:r>
      <w:r>
        <w:rPr>
          <w:color w:val="990000"/>
        </w:rPr>
        <w:t>Fields medalist Terrence Tao</w:t>
      </w:r>
      <w:r>
        <w:t xml:space="preserve"> compared the experience of working with this model to working with “a mediocre, but not completely incompetent, graduate student.” He speculated that it may only take one or two further iterations until AI reaches the level of a “competent graduate student.” In response to his assessment, many people joked that if we’re already at the point where we need the brightest human minds to evaluate AI models, we’ll have no one qualified to evaluate future models.</w:t>
      </w:r>
    </w:p>
  </w:footnote>
  <w:footnote w:id="5">
    <w:p w14:paraId="0A67D6B1" w14:textId="77777777" w:rsidR="006C08A6" w:rsidRDefault="00000000">
      <w:pPr>
        <w:pStyle w:val="footnotedescription"/>
        <w:spacing w:line="261" w:lineRule="auto"/>
        <w:ind w:left="160"/>
      </w:pPr>
      <w:r>
        <w:rPr>
          <w:rStyle w:val="footnotemark"/>
        </w:rPr>
        <w:footnoteRef/>
      </w:r>
      <w:r>
        <w:t xml:space="preserve"> I searched for all repositories with at least 500 stars using the keywords “LLM”, “GPT”, “generative”, and “transformer”. I also crowdsourced for missing repositories through my website </w:t>
      </w:r>
      <w:r>
        <w:rPr>
          <w:i/>
          <w:color w:val="990000"/>
        </w:rPr>
        <w:t>https://huyenchip.com</w:t>
      </w:r>
      <w:r>
        <w:t>.</w:t>
      </w:r>
    </w:p>
  </w:footnote>
  <w:footnote w:id="6">
    <w:p w14:paraId="4CA3EC16" w14:textId="77777777" w:rsidR="006C08A6" w:rsidRDefault="00000000">
      <w:pPr>
        <w:pStyle w:val="footnotedescription"/>
        <w:ind w:left="160"/>
      </w:pPr>
      <w:r>
        <w:rPr>
          <w:rStyle w:val="footnotemark"/>
        </w:rPr>
        <w:footnoteRef/>
      </w:r>
      <w:r>
        <w:t xml:space="preserve"> While there’s a strong correlation, language modeling performance doesn’t fully explain downstream performance. This is an active area of research.</w:t>
      </w:r>
    </w:p>
  </w:footnote>
  <w:footnote w:id="7">
    <w:p w14:paraId="47A4F324" w14:textId="77777777" w:rsidR="006C08A6" w:rsidRDefault="00000000">
      <w:pPr>
        <w:pStyle w:val="footnotedescription"/>
        <w:ind w:left="160"/>
      </w:pPr>
      <w:r>
        <w:rPr>
          <w:rStyle w:val="footnotemark"/>
        </w:rPr>
        <w:footnoteRef/>
      </w:r>
      <w:r>
        <w:t xml:space="preserve"> As discussed in </w:t>
      </w:r>
      <w:r>
        <w:rPr>
          <w:color w:val="990000"/>
        </w:rPr>
        <w:t>Chapter 1</w:t>
      </w:r>
      <w:r>
        <w:t xml:space="preserve">, a token can be a character, a word, or part of a word. When Claude Shannon introduced entropy in 1951, the tokens he worked with were characters. Here’s entropy in </w:t>
      </w:r>
      <w:r>
        <w:rPr>
          <w:color w:val="990000"/>
        </w:rPr>
        <w:t>his own words</w:t>
      </w:r>
      <w:r>
        <w:t xml:space="preserve">: </w:t>
      </w:r>
      <w:r>
        <w:rPr>
          <w:i/>
        </w:rPr>
        <w:t>“</w:t>
      </w:r>
      <w:r>
        <w:t>The entropy is a statistical parameter which measures, in a certain sense, how much information is produced on the average for each letter of a text in the language. If the language is translated into binary digits (0 or 1) in the most efficient way, the entropy is the average number of binary digits required per letter of the original language.”</w:t>
      </w:r>
    </w:p>
  </w:footnote>
  <w:footnote w:id="8">
    <w:p w14:paraId="1E107C2E" w14:textId="77777777" w:rsidR="006C08A6" w:rsidRDefault="00000000">
      <w:pPr>
        <w:pStyle w:val="footnotedescription"/>
        <w:spacing w:line="262" w:lineRule="auto"/>
        <w:ind w:left="160"/>
      </w:pPr>
      <w:r>
        <w:rPr>
          <w:rStyle w:val="footnotemark"/>
        </w:rPr>
        <w:footnoteRef/>
      </w:r>
      <w:r>
        <w:t xml:space="preserve"> One reason many people might prefer natural log over log base 2 is because natural log has certain properties that makes its math easier. For example, the derivative of natural log ln(</w:t>
      </w:r>
      <w:r>
        <w:rPr>
          <w:i/>
        </w:rPr>
        <w:t>x</w:t>
      </w:r>
      <w:r>
        <w:t>) is 1/</w:t>
      </w:r>
      <w:r>
        <w:rPr>
          <w:i/>
        </w:rPr>
        <w:t>x</w:t>
      </w:r>
      <w:r>
        <w:t>.</w:t>
      </w:r>
    </w:p>
  </w:footnote>
  <w:footnote w:id="9">
    <w:p w14:paraId="7978AADA" w14:textId="77777777" w:rsidR="006C08A6" w:rsidRDefault="00000000">
      <w:pPr>
        <w:pStyle w:val="footnotedescription"/>
        <w:spacing w:after="121"/>
        <w:ind w:left="204"/>
      </w:pPr>
      <w:r>
        <w:rPr>
          <w:rStyle w:val="footnotemark"/>
        </w:rPr>
        <w:footnoteRef/>
      </w:r>
      <w:r>
        <w:t xml:space="preserve"> If you’re unsure what SFT (supervised finetuning) and RLHF (reinforcement learning from human feedback) mean, revisit </w:t>
      </w:r>
      <w:r>
        <w:rPr>
          <w:color w:val="990000"/>
        </w:rPr>
        <w:t>Chapter 2</w:t>
      </w:r>
      <w:r>
        <w:t>.</w:t>
      </w:r>
    </w:p>
  </w:footnote>
  <w:footnote w:id="10">
    <w:p w14:paraId="253F6B9A" w14:textId="77777777" w:rsidR="006C08A6" w:rsidRDefault="00000000">
      <w:pPr>
        <w:pStyle w:val="footnotedescription"/>
        <w:ind w:left="0" w:firstLine="0"/>
      </w:pPr>
      <w:r>
        <w:rPr>
          <w:rStyle w:val="footnotemark"/>
        </w:rPr>
        <w:footnoteRef/>
      </w:r>
      <w:r>
        <w:t xml:space="preserve"> Quantization is discussed in </w:t>
      </w:r>
      <w:r>
        <w:rPr>
          <w:color w:val="990000"/>
        </w:rPr>
        <w:t>Chapter 7</w:t>
      </w:r>
      <w:r>
        <w:t>.</w:t>
      </w:r>
    </w:p>
  </w:footnote>
  <w:footnote w:id="11">
    <w:p w14:paraId="0D0FB6E9" w14:textId="77777777" w:rsidR="006C08A6" w:rsidRDefault="00000000">
      <w:pPr>
        <w:pStyle w:val="footnotedescription"/>
        <w:ind w:left="204" w:hanging="204"/>
      </w:pPr>
      <w:r>
        <w:rPr>
          <w:rStyle w:val="footnotemark"/>
        </w:rPr>
        <w:footnoteRef/>
      </w:r>
      <w:r>
        <w:t xml:space="preserve"> The challenge is that while many complex tasks have measurable objectives, AI isn’t quite good enough to perform complex tasks end-to-end, so AI might be used to do part of the solution. Sometimes, evaluating a part of a solution is harder than evaluating the end outcome. Imagine you want to evaluate someone’s ability to play chess. It’s easier to evaluate the end game outcome (win/lose/draw) than to evaluate just one move.</w:t>
      </w:r>
    </w:p>
  </w:footnote>
  <w:footnote w:id="12">
    <w:p w14:paraId="2EE8B275" w14:textId="77777777" w:rsidR="006C08A6" w:rsidRDefault="00000000">
      <w:pPr>
        <w:pStyle w:val="footnotedescription"/>
        <w:ind w:left="204" w:right="25" w:hanging="204"/>
      </w:pPr>
      <w:r>
        <w:rPr>
          <w:rStyle w:val="footnotemark"/>
        </w:rPr>
        <w:footnoteRef/>
      </w:r>
      <w:r>
        <w:t xml:space="preserve"> You might also want to do some processing depending on whether you want “cats” and “cat” or “will not” and “won’t” to be considered two separate tokens.</w:t>
      </w:r>
    </w:p>
  </w:footnote>
  <w:footnote w:id="13">
    <w:p w14:paraId="3012F39E" w14:textId="77777777" w:rsidR="006C08A6" w:rsidRDefault="00000000">
      <w:pPr>
        <w:pStyle w:val="footnotedescription"/>
        <w:spacing w:after="120"/>
        <w:ind w:left="204" w:hanging="204"/>
      </w:pPr>
      <w:r>
        <w:rPr>
          <w:rStyle w:val="footnotemark"/>
        </w:rPr>
        <w:footnoteRef/>
      </w:r>
      <w:r>
        <w:t xml:space="preserve"> While a 10,000-element vector space seems high-dimensional, it’s much lower than the dimensionality of the raw data. An embedding is, therefore, considered a representation of complex data in a lower-dimensional space.</w:t>
      </w:r>
    </w:p>
  </w:footnote>
  <w:footnote w:id="14">
    <w:p w14:paraId="6218C851" w14:textId="77777777" w:rsidR="006C08A6" w:rsidRDefault="00000000">
      <w:pPr>
        <w:pStyle w:val="footnotedescription"/>
        <w:spacing w:line="260" w:lineRule="auto"/>
        <w:ind w:left="204" w:hanging="204"/>
      </w:pPr>
      <w:r>
        <w:rPr>
          <w:rStyle w:val="footnotemark"/>
        </w:rPr>
        <w:footnoteRef/>
      </w:r>
      <w:r>
        <w:t xml:space="preserve"> There are also models that generate word embeddings, as opposed to documentation embeddings, such as word2vec (Mikolov et al., </w:t>
      </w:r>
      <w:r>
        <w:rPr>
          <w:color w:val="990000"/>
        </w:rPr>
        <w:t>“Efficient Estimation of Word Representations in Vector Space”</w:t>
      </w:r>
      <w:r>
        <w:t xml:space="preserve">, </w:t>
      </w:r>
      <w:r>
        <w:rPr>
          <w:i/>
        </w:rPr>
        <w:t>arXiv</w:t>
      </w:r>
      <w:r>
        <w:t xml:space="preserve">, v3, September 7, 2013) and GloVe (Pennington et al., </w:t>
      </w:r>
      <w:r>
        <w:rPr>
          <w:color w:val="990000"/>
        </w:rPr>
        <w:t>“GloVe: Global Vectors for Word Representation”</w:t>
      </w:r>
      <w:r>
        <w:t>, the Stanford University Natural Language Processing Group (blog), 2014.</w:t>
      </w:r>
    </w:p>
  </w:footnote>
  <w:footnote w:id="15">
    <w:p w14:paraId="6BC9B60C" w14:textId="77777777" w:rsidR="006C08A6" w:rsidRDefault="00000000">
      <w:pPr>
        <w:pStyle w:val="footnotedescription"/>
        <w:ind w:left="0" w:firstLine="0"/>
      </w:pPr>
      <w:r>
        <w:rPr>
          <w:rStyle w:val="footnotemark"/>
        </w:rPr>
        <w:footnoteRef/>
      </w:r>
      <w:r>
        <w:t xml:space="preserve"> The term </w:t>
      </w:r>
      <w:r>
        <w:rPr>
          <w:i/>
        </w:rPr>
        <w:t>AI judge</w:t>
      </w:r>
      <w:r>
        <w:t xml:space="preserve"> is not to be confused with the use case where AI is used as a judge in court.</w:t>
      </w:r>
    </w:p>
  </w:footnote>
  <w:footnote w:id="16">
    <w:p w14:paraId="3459D668" w14:textId="77777777" w:rsidR="006C08A6" w:rsidRDefault="00000000">
      <w:pPr>
        <w:pStyle w:val="footnotedescription"/>
        <w:ind w:left="204" w:hanging="204"/>
      </w:pPr>
      <w:r>
        <w:rPr>
          <w:rStyle w:val="footnotemark"/>
        </w:rPr>
        <w:footnoteRef/>
      </w:r>
      <w:r>
        <w:t xml:space="preserve"> In 2017, I presented at a NeurIPS workshop </w:t>
      </w:r>
      <w:r>
        <w:rPr>
          <w:color w:val="990000"/>
        </w:rPr>
        <w:t>MEWR</w:t>
      </w:r>
      <w:r>
        <w:t xml:space="preserve"> (Machine translation Evaluation metric Without Reference text), an evaluation method that leverages stronger language models to automatically evaluate machine translations. Sadly, I never pursued this line of research because life got in the way.</w:t>
      </w:r>
    </w:p>
  </w:footnote>
  <w:footnote w:id="17">
    <w:p w14:paraId="75832AEB" w14:textId="77777777" w:rsidR="006C08A6" w:rsidRDefault="00000000">
      <w:pPr>
        <w:pStyle w:val="footnotedescription"/>
        <w:spacing w:after="121"/>
        <w:ind w:left="0" w:firstLine="0"/>
      </w:pPr>
      <w:r>
        <w:rPr>
          <w:rStyle w:val="footnotemark"/>
        </w:rPr>
        <w:footnoteRef/>
      </w:r>
      <w:r>
        <w:t xml:space="preserve"> In some cases, evaluation can take up the majority of the budget, even more than response generation.</w:t>
      </w:r>
    </w:p>
  </w:footnote>
  <w:footnote w:id="18">
    <w:p w14:paraId="44128317" w14:textId="77777777" w:rsidR="006C08A6" w:rsidRDefault="00000000">
      <w:pPr>
        <w:pStyle w:val="footnotedescription"/>
        <w:ind w:left="0" w:firstLine="0"/>
      </w:pPr>
      <w:r>
        <w:rPr>
          <w:rStyle w:val="footnotemark"/>
        </w:rPr>
        <w:footnoteRef/>
      </w:r>
      <w:r>
        <w:t xml:space="preserve"> Spot-checking is the same as sampling.</w:t>
      </w:r>
    </w:p>
  </w:footnote>
  <w:footnote w:id="19">
    <w:p w14:paraId="153BDDCD" w14:textId="77777777" w:rsidR="006C08A6" w:rsidRDefault="00000000">
      <w:pPr>
        <w:pStyle w:val="footnotedescription"/>
        <w:ind w:left="0" w:firstLine="0"/>
      </w:pPr>
      <w:r>
        <w:rPr>
          <w:rStyle w:val="footnotemark"/>
        </w:rPr>
        <w:footnoteRef/>
      </w:r>
      <w:r>
        <w:t xml:space="preserve"> Saito et al. (2023) found that humans tend to favor longer responses too, but to a much lesser extent.</w:t>
      </w:r>
    </w:p>
  </w:footnote>
  <w:footnote w:id="20">
    <w:p w14:paraId="34B8D026" w14:textId="77777777" w:rsidR="006C08A6" w:rsidRDefault="00000000">
      <w:pPr>
        <w:pStyle w:val="footnotedescription"/>
        <w:ind w:left="0" w:firstLine="0"/>
      </w:pPr>
      <w:r>
        <w:rPr>
          <w:rStyle w:val="footnotemark"/>
        </w:rPr>
        <w:footnoteRef/>
      </w:r>
      <w:r>
        <w:t xml:space="preserve"> This technique is sometimes referred to as </w:t>
      </w:r>
      <w:r>
        <w:rPr>
          <w:i/>
        </w:rPr>
        <w:t>self-critique</w:t>
      </w:r>
      <w:r>
        <w:t xml:space="preserve"> or </w:t>
      </w:r>
      <w:r>
        <w:rPr>
          <w:i/>
        </w:rPr>
        <w:t>self-ask</w:t>
      </w:r>
      <w:r>
        <w:t>.</w:t>
      </w:r>
    </w:p>
  </w:footnote>
  <w:footnote w:id="21">
    <w:p w14:paraId="31161101" w14:textId="77777777" w:rsidR="006C08A6" w:rsidRDefault="00000000">
      <w:pPr>
        <w:pStyle w:val="footnotedescription"/>
        <w:ind w:left="204" w:hanging="204"/>
      </w:pPr>
      <w:r>
        <w:rPr>
          <w:rStyle w:val="footnotemark"/>
        </w:rPr>
        <w:footnoteRef/>
      </w:r>
      <w:r>
        <w:t xml:space="preserve"> The BLEURT score range is confusing. It’s approximately </w:t>
      </w:r>
      <w:r>
        <w:rPr>
          <w:color w:val="990000"/>
        </w:rPr>
        <w:t>between -2.5 and 1.0</w:t>
      </w:r>
      <w:r>
        <w:t>. This highlights the challenge of criteria ambiguity with AI judges: the score range can be arbitrary.</w:t>
      </w:r>
    </w:p>
  </w:footnote>
  <w:footnote w:id="22">
    <w:p w14:paraId="36972CFA" w14:textId="77777777" w:rsidR="006C08A6" w:rsidRDefault="00000000">
      <w:pPr>
        <w:pStyle w:val="footnotedescription"/>
        <w:ind w:left="0" w:firstLine="0"/>
      </w:pPr>
      <w:r>
        <w:rPr>
          <w:rStyle w:val="footnotemark"/>
        </w:rPr>
        <w:footnoteRef/>
      </w:r>
      <w:r>
        <w:t xml:space="preserve"> Such as using a </w:t>
      </w:r>
      <w:r>
        <w:rPr>
          <w:color w:val="990000"/>
        </w:rPr>
        <w:t>Likert scale</w:t>
      </w:r>
      <w:r>
        <w:t>.</w:t>
      </w:r>
    </w:p>
  </w:footnote>
  <w:footnote w:id="23">
    <w:p w14:paraId="60A555F3" w14:textId="77777777" w:rsidR="006C08A6" w:rsidRDefault="00000000">
      <w:pPr>
        <w:pStyle w:val="footnotedescription"/>
        <w:ind w:left="204" w:hanging="204"/>
      </w:pPr>
      <w:r>
        <w:rPr>
          <w:rStyle w:val="footnotemark"/>
        </w:rPr>
        <w:footnoteRef/>
      </w:r>
      <w:r>
        <w:t xml:space="preserve"> Even though Chatbot Arena stopped using the Elo rating algorithm, its developers, for a while, continued referring to their model ratings “Elo scores”. They scaled the resulting Bradley-Terry scores to make them look like Elo scores. The scaling is fairly complicated. Each score is multiplied by 400 (the scale used in Elo) and added to 1,000 (the initial Elo score). Then this score is rescaled so that the model Llama-13b has a score of 800.</w:t>
      </w:r>
    </w:p>
  </w:footnote>
  <w:footnote w:id="24">
    <w:p w14:paraId="41DF3108" w14:textId="77777777" w:rsidR="006C08A6" w:rsidRDefault="00000000">
      <w:pPr>
        <w:pStyle w:val="footnotedescription"/>
        <w:ind w:left="204" w:hanging="204"/>
      </w:pPr>
      <w:r>
        <w:rPr>
          <w:rStyle w:val="footnotemark"/>
        </w:rPr>
        <w:footnoteRef/>
      </w:r>
      <w:r>
        <w:t xml:space="preserve"> As Chatbot Arena becomes more popular, attempts to game it have become more common. While no one has admitted to me that they tried to game the ranking, several model developers have told me that they’re convinced their competitors try to game 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495"/>
    <w:multiLevelType w:val="hybridMultilevel"/>
    <w:tmpl w:val="91340D02"/>
    <w:lvl w:ilvl="0" w:tplc="841EDD48">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9E86792">
      <w:start w:val="1"/>
      <w:numFmt w:val="lowerLetter"/>
      <w:lvlText w:val="%2"/>
      <w:lvlJc w:val="left"/>
      <w:pPr>
        <w:ind w:left="1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9766762">
      <w:start w:val="1"/>
      <w:numFmt w:val="lowerRoman"/>
      <w:lvlText w:val="%3"/>
      <w:lvlJc w:val="left"/>
      <w:pPr>
        <w:ind w:left="1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D6087A">
      <w:start w:val="1"/>
      <w:numFmt w:val="decimal"/>
      <w:lvlText w:val="%4"/>
      <w:lvlJc w:val="left"/>
      <w:pPr>
        <w:ind w:left="2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F206C1E">
      <w:start w:val="1"/>
      <w:numFmt w:val="lowerLetter"/>
      <w:lvlText w:val="%5"/>
      <w:lvlJc w:val="left"/>
      <w:pPr>
        <w:ind w:left="3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060FA1E">
      <w:start w:val="1"/>
      <w:numFmt w:val="lowerRoman"/>
      <w:lvlText w:val="%6"/>
      <w:lvlJc w:val="left"/>
      <w:pPr>
        <w:ind w:left="4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DACB7F6">
      <w:start w:val="1"/>
      <w:numFmt w:val="decimal"/>
      <w:lvlText w:val="%7"/>
      <w:lvlJc w:val="left"/>
      <w:pPr>
        <w:ind w:left="4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924D8A6">
      <w:start w:val="1"/>
      <w:numFmt w:val="lowerLetter"/>
      <w:lvlText w:val="%8"/>
      <w:lvlJc w:val="left"/>
      <w:pPr>
        <w:ind w:left="5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0C83BD6">
      <w:start w:val="1"/>
      <w:numFmt w:val="lowerRoman"/>
      <w:lvlText w:val="%9"/>
      <w:lvlJc w:val="left"/>
      <w:pPr>
        <w:ind w:left="62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D4F4F69"/>
    <w:multiLevelType w:val="hybridMultilevel"/>
    <w:tmpl w:val="79A66AD4"/>
    <w:lvl w:ilvl="0" w:tplc="E3FCC654">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142DB02">
      <w:start w:val="1"/>
      <w:numFmt w:val="bullet"/>
      <w:lvlText w:val="•"/>
      <w:lvlJc w:val="left"/>
      <w:pPr>
        <w:ind w:left="5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EA4221E">
      <w:start w:val="1"/>
      <w:numFmt w:val="bullet"/>
      <w:lvlText w:val="▪"/>
      <w:lvlJc w:val="left"/>
      <w:pPr>
        <w:ind w:left="14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19CB3DE">
      <w:start w:val="1"/>
      <w:numFmt w:val="bullet"/>
      <w:lvlText w:val="•"/>
      <w:lvlJc w:val="left"/>
      <w:pPr>
        <w:ind w:left="21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098B214">
      <w:start w:val="1"/>
      <w:numFmt w:val="bullet"/>
      <w:lvlText w:val="o"/>
      <w:lvlJc w:val="left"/>
      <w:pPr>
        <w:ind w:left="28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F06B31A">
      <w:start w:val="1"/>
      <w:numFmt w:val="bullet"/>
      <w:lvlText w:val="▪"/>
      <w:lvlJc w:val="left"/>
      <w:pPr>
        <w:ind w:left="36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AC899EA">
      <w:start w:val="1"/>
      <w:numFmt w:val="bullet"/>
      <w:lvlText w:val="•"/>
      <w:lvlJc w:val="left"/>
      <w:pPr>
        <w:ind w:left="43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AF825B0">
      <w:start w:val="1"/>
      <w:numFmt w:val="bullet"/>
      <w:lvlText w:val="o"/>
      <w:lvlJc w:val="left"/>
      <w:pPr>
        <w:ind w:left="50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D702DFE">
      <w:start w:val="1"/>
      <w:numFmt w:val="bullet"/>
      <w:lvlText w:val="▪"/>
      <w:lvlJc w:val="left"/>
      <w:pPr>
        <w:ind w:left="57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98E1717"/>
    <w:multiLevelType w:val="hybridMultilevel"/>
    <w:tmpl w:val="F05EF434"/>
    <w:lvl w:ilvl="0" w:tplc="FADA4320">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D96512C">
      <w:start w:val="1"/>
      <w:numFmt w:val="lowerLetter"/>
      <w:lvlText w:val="%2"/>
      <w:lvlJc w:val="left"/>
      <w:pPr>
        <w:ind w:left="1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7063E26">
      <w:start w:val="1"/>
      <w:numFmt w:val="lowerRoman"/>
      <w:lvlText w:val="%3"/>
      <w:lvlJc w:val="left"/>
      <w:pPr>
        <w:ind w:left="1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18677CA">
      <w:start w:val="1"/>
      <w:numFmt w:val="decimal"/>
      <w:lvlText w:val="%4"/>
      <w:lvlJc w:val="left"/>
      <w:pPr>
        <w:ind w:left="2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30179E">
      <w:start w:val="1"/>
      <w:numFmt w:val="lowerLetter"/>
      <w:lvlText w:val="%5"/>
      <w:lvlJc w:val="left"/>
      <w:pPr>
        <w:ind w:left="3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EFE3C28">
      <w:start w:val="1"/>
      <w:numFmt w:val="lowerRoman"/>
      <w:lvlText w:val="%6"/>
      <w:lvlJc w:val="left"/>
      <w:pPr>
        <w:ind w:left="4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92CE2E6">
      <w:start w:val="1"/>
      <w:numFmt w:val="decimal"/>
      <w:lvlText w:val="%7"/>
      <w:lvlJc w:val="left"/>
      <w:pPr>
        <w:ind w:left="4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BDAFD32">
      <w:start w:val="1"/>
      <w:numFmt w:val="lowerLetter"/>
      <w:lvlText w:val="%8"/>
      <w:lvlJc w:val="left"/>
      <w:pPr>
        <w:ind w:left="5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36EE358">
      <w:start w:val="1"/>
      <w:numFmt w:val="lowerRoman"/>
      <w:lvlText w:val="%9"/>
      <w:lvlJc w:val="left"/>
      <w:pPr>
        <w:ind w:left="62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A0B6036"/>
    <w:multiLevelType w:val="hybridMultilevel"/>
    <w:tmpl w:val="AB904086"/>
    <w:lvl w:ilvl="0" w:tplc="AD82E8FA">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960348A">
      <w:start w:val="1"/>
      <w:numFmt w:val="bullet"/>
      <w:lvlText w:val="o"/>
      <w:lvlJc w:val="left"/>
      <w:pPr>
        <w:ind w:left="12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5DC2836">
      <w:start w:val="1"/>
      <w:numFmt w:val="bullet"/>
      <w:lvlText w:val="▪"/>
      <w:lvlJc w:val="left"/>
      <w:pPr>
        <w:ind w:left="19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202F434">
      <w:start w:val="1"/>
      <w:numFmt w:val="bullet"/>
      <w:lvlText w:val="•"/>
      <w:lvlJc w:val="left"/>
      <w:pPr>
        <w:ind w:left="26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1622868">
      <w:start w:val="1"/>
      <w:numFmt w:val="bullet"/>
      <w:lvlText w:val="o"/>
      <w:lvlJc w:val="left"/>
      <w:pPr>
        <w:ind w:left="34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6E263CE">
      <w:start w:val="1"/>
      <w:numFmt w:val="bullet"/>
      <w:lvlText w:val="▪"/>
      <w:lvlJc w:val="left"/>
      <w:pPr>
        <w:ind w:left="41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380B874">
      <w:start w:val="1"/>
      <w:numFmt w:val="bullet"/>
      <w:lvlText w:val="•"/>
      <w:lvlJc w:val="left"/>
      <w:pPr>
        <w:ind w:left="48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8A05742">
      <w:start w:val="1"/>
      <w:numFmt w:val="bullet"/>
      <w:lvlText w:val="o"/>
      <w:lvlJc w:val="left"/>
      <w:pPr>
        <w:ind w:left="55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4205338">
      <w:start w:val="1"/>
      <w:numFmt w:val="bullet"/>
      <w:lvlText w:val="▪"/>
      <w:lvlJc w:val="left"/>
      <w:pPr>
        <w:ind w:left="62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8F875D3"/>
    <w:multiLevelType w:val="hybridMultilevel"/>
    <w:tmpl w:val="EBD4AB54"/>
    <w:lvl w:ilvl="0" w:tplc="309AE74C">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F466C06">
      <w:start w:val="1"/>
      <w:numFmt w:val="lowerLetter"/>
      <w:lvlText w:val="%2"/>
      <w:lvlJc w:val="left"/>
      <w:pPr>
        <w:ind w:left="1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BC4029E">
      <w:start w:val="1"/>
      <w:numFmt w:val="lowerRoman"/>
      <w:lvlText w:val="%3"/>
      <w:lvlJc w:val="left"/>
      <w:pPr>
        <w:ind w:left="1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9600FCA">
      <w:start w:val="1"/>
      <w:numFmt w:val="decimal"/>
      <w:lvlText w:val="%4"/>
      <w:lvlJc w:val="left"/>
      <w:pPr>
        <w:ind w:left="2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0BC84B6">
      <w:start w:val="1"/>
      <w:numFmt w:val="lowerLetter"/>
      <w:lvlText w:val="%5"/>
      <w:lvlJc w:val="left"/>
      <w:pPr>
        <w:ind w:left="3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67AEFB8">
      <w:start w:val="1"/>
      <w:numFmt w:val="lowerRoman"/>
      <w:lvlText w:val="%6"/>
      <w:lvlJc w:val="left"/>
      <w:pPr>
        <w:ind w:left="4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C02D8A0">
      <w:start w:val="1"/>
      <w:numFmt w:val="decimal"/>
      <w:lvlText w:val="%7"/>
      <w:lvlJc w:val="left"/>
      <w:pPr>
        <w:ind w:left="4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7649162">
      <w:start w:val="1"/>
      <w:numFmt w:val="lowerLetter"/>
      <w:lvlText w:val="%8"/>
      <w:lvlJc w:val="left"/>
      <w:pPr>
        <w:ind w:left="5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2C8B76C">
      <w:start w:val="1"/>
      <w:numFmt w:val="lowerRoman"/>
      <w:lvlText w:val="%9"/>
      <w:lvlJc w:val="left"/>
      <w:pPr>
        <w:ind w:left="62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9C934A7"/>
    <w:multiLevelType w:val="hybridMultilevel"/>
    <w:tmpl w:val="67B4C3C6"/>
    <w:lvl w:ilvl="0" w:tplc="005650EC">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02608F0">
      <w:start w:val="1"/>
      <w:numFmt w:val="lowerLetter"/>
      <w:lvlText w:val="%2"/>
      <w:lvlJc w:val="left"/>
      <w:pPr>
        <w:ind w:left="1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D7A1F30">
      <w:start w:val="1"/>
      <w:numFmt w:val="lowerRoman"/>
      <w:lvlText w:val="%3"/>
      <w:lvlJc w:val="left"/>
      <w:pPr>
        <w:ind w:left="1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D4C0FAE">
      <w:start w:val="1"/>
      <w:numFmt w:val="decimal"/>
      <w:lvlText w:val="%4"/>
      <w:lvlJc w:val="left"/>
      <w:pPr>
        <w:ind w:left="2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E5AF88A">
      <w:start w:val="1"/>
      <w:numFmt w:val="lowerLetter"/>
      <w:lvlText w:val="%5"/>
      <w:lvlJc w:val="left"/>
      <w:pPr>
        <w:ind w:left="3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4788684">
      <w:start w:val="1"/>
      <w:numFmt w:val="lowerRoman"/>
      <w:lvlText w:val="%6"/>
      <w:lvlJc w:val="left"/>
      <w:pPr>
        <w:ind w:left="4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E286904">
      <w:start w:val="1"/>
      <w:numFmt w:val="decimal"/>
      <w:lvlText w:val="%7"/>
      <w:lvlJc w:val="left"/>
      <w:pPr>
        <w:ind w:left="4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978645A">
      <w:start w:val="1"/>
      <w:numFmt w:val="lowerLetter"/>
      <w:lvlText w:val="%8"/>
      <w:lvlJc w:val="left"/>
      <w:pPr>
        <w:ind w:left="5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622C33E">
      <w:start w:val="1"/>
      <w:numFmt w:val="lowerRoman"/>
      <w:lvlText w:val="%9"/>
      <w:lvlJc w:val="left"/>
      <w:pPr>
        <w:ind w:left="62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3070709A"/>
    <w:multiLevelType w:val="hybridMultilevel"/>
    <w:tmpl w:val="1722EAE6"/>
    <w:lvl w:ilvl="0" w:tplc="122EF046">
      <w:start w:val="1"/>
      <w:numFmt w:val="bullet"/>
      <w:lvlText w:val="•"/>
      <w:lvlJc w:val="left"/>
      <w:pPr>
        <w:ind w:left="3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4724F9A">
      <w:start w:val="1"/>
      <w:numFmt w:val="bullet"/>
      <w:lvlText w:val="o"/>
      <w:lvlJc w:val="left"/>
      <w:pPr>
        <w:ind w:left="12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0B8731A">
      <w:start w:val="1"/>
      <w:numFmt w:val="bullet"/>
      <w:lvlText w:val="▪"/>
      <w:lvlJc w:val="left"/>
      <w:pPr>
        <w:ind w:left="19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1B4A9D2">
      <w:start w:val="1"/>
      <w:numFmt w:val="bullet"/>
      <w:lvlText w:val="•"/>
      <w:lvlJc w:val="left"/>
      <w:pPr>
        <w:ind w:left="26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13E7124">
      <w:start w:val="1"/>
      <w:numFmt w:val="bullet"/>
      <w:lvlText w:val="o"/>
      <w:lvlJc w:val="left"/>
      <w:pPr>
        <w:ind w:left="34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AD82072">
      <w:start w:val="1"/>
      <w:numFmt w:val="bullet"/>
      <w:lvlText w:val="▪"/>
      <w:lvlJc w:val="left"/>
      <w:pPr>
        <w:ind w:left="41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F84494E">
      <w:start w:val="1"/>
      <w:numFmt w:val="bullet"/>
      <w:lvlText w:val="•"/>
      <w:lvlJc w:val="left"/>
      <w:pPr>
        <w:ind w:left="48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DF4815C">
      <w:start w:val="1"/>
      <w:numFmt w:val="bullet"/>
      <w:lvlText w:val="o"/>
      <w:lvlJc w:val="left"/>
      <w:pPr>
        <w:ind w:left="55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FD2E628">
      <w:start w:val="1"/>
      <w:numFmt w:val="bullet"/>
      <w:lvlText w:val="▪"/>
      <w:lvlJc w:val="left"/>
      <w:pPr>
        <w:ind w:left="62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37126D0A"/>
    <w:multiLevelType w:val="hybridMultilevel"/>
    <w:tmpl w:val="C67CF942"/>
    <w:lvl w:ilvl="0" w:tplc="22FA5508">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012AE70">
      <w:start w:val="1"/>
      <w:numFmt w:val="lowerLetter"/>
      <w:lvlText w:val="%2"/>
      <w:lvlJc w:val="left"/>
      <w:pPr>
        <w:ind w:left="1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6E83D80">
      <w:start w:val="1"/>
      <w:numFmt w:val="lowerRoman"/>
      <w:lvlText w:val="%3"/>
      <w:lvlJc w:val="left"/>
      <w:pPr>
        <w:ind w:left="1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CC2073E">
      <w:start w:val="1"/>
      <w:numFmt w:val="decimal"/>
      <w:lvlText w:val="%4"/>
      <w:lvlJc w:val="left"/>
      <w:pPr>
        <w:ind w:left="2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F848B4A">
      <w:start w:val="1"/>
      <w:numFmt w:val="lowerLetter"/>
      <w:lvlText w:val="%5"/>
      <w:lvlJc w:val="left"/>
      <w:pPr>
        <w:ind w:left="3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3B4D434">
      <w:start w:val="1"/>
      <w:numFmt w:val="lowerRoman"/>
      <w:lvlText w:val="%6"/>
      <w:lvlJc w:val="left"/>
      <w:pPr>
        <w:ind w:left="4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55042F8">
      <w:start w:val="1"/>
      <w:numFmt w:val="decimal"/>
      <w:lvlText w:val="%7"/>
      <w:lvlJc w:val="left"/>
      <w:pPr>
        <w:ind w:left="4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B6CEA8C">
      <w:start w:val="1"/>
      <w:numFmt w:val="lowerLetter"/>
      <w:lvlText w:val="%8"/>
      <w:lvlJc w:val="left"/>
      <w:pPr>
        <w:ind w:left="5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404054E">
      <w:start w:val="1"/>
      <w:numFmt w:val="lowerRoman"/>
      <w:lvlText w:val="%9"/>
      <w:lvlJc w:val="left"/>
      <w:pPr>
        <w:ind w:left="62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73CF18FD"/>
    <w:multiLevelType w:val="hybridMultilevel"/>
    <w:tmpl w:val="9E9EA4BA"/>
    <w:lvl w:ilvl="0" w:tplc="2164839C">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2CC27CE">
      <w:start w:val="1"/>
      <w:numFmt w:val="bullet"/>
      <w:lvlText w:val="o"/>
      <w:lvlJc w:val="left"/>
      <w:pPr>
        <w:ind w:left="12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A2A8B0E">
      <w:start w:val="1"/>
      <w:numFmt w:val="bullet"/>
      <w:lvlText w:val="▪"/>
      <w:lvlJc w:val="left"/>
      <w:pPr>
        <w:ind w:left="19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5B6956E">
      <w:start w:val="1"/>
      <w:numFmt w:val="bullet"/>
      <w:lvlText w:val="•"/>
      <w:lvlJc w:val="left"/>
      <w:pPr>
        <w:ind w:left="26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9D62720">
      <w:start w:val="1"/>
      <w:numFmt w:val="bullet"/>
      <w:lvlText w:val="o"/>
      <w:lvlJc w:val="left"/>
      <w:pPr>
        <w:ind w:left="34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BFCE1A8">
      <w:start w:val="1"/>
      <w:numFmt w:val="bullet"/>
      <w:lvlText w:val="▪"/>
      <w:lvlJc w:val="left"/>
      <w:pPr>
        <w:ind w:left="41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51215D4">
      <w:start w:val="1"/>
      <w:numFmt w:val="bullet"/>
      <w:lvlText w:val="•"/>
      <w:lvlJc w:val="left"/>
      <w:pPr>
        <w:ind w:left="48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39AC448">
      <w:start w:val="1"/>
      <w:numFmt w:val="bullet"/>
      <w:lvlText w:val="o"/>
      <w:lvlJc w:val="left"/>
      <w:pPr>
        <w:ind w:left="55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85888EC">
      <w:start w:val="1"/>
      <w:numFmt w:val="bullet"/>
      <w:lvlText w:val="▪"/>
      <w:lvlJc w:val="left"/>
      <w:pPr>
        <w:ind w:left="62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7F0E0F11"/>
    <w:multiLevelType w:val="hybridMultilevel"/>
    <w:tmpl w:val="55A895DA"/>
    <w:lvl w:ilvl="0" w:tplc="3F3E8698">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8548B38">
      <w:start w:val="1"/>
      <w:numFmt w:val="bullet"/>
      <w:lvlText w:val="o"/>
      <w:lvlJc w:val="left"/>
      <w:pPr>
        <w:ind w:left="12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4D61DCE">
      <w:start w:val="1"/>
      <w:numFmt w:val="bullet"/>
      <w:lvlText w:val="▪"/>
      <w:lvlJc w:val="left"/>
      <w:pPr>
        <w:ind w:left="19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B0A4AFC">
      <w:start w:val="1"/>
      <w:numFmt w:val="bullet"/>
      <w:lvlText w:val="•"/>
      <w:lvlJc w:val="left"/>
      <w:pPr>
        <w:ind w:left="26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2023AD8">
      <w:start w:val="1"/>
      <w:numFmt w:val="bullet"/>
      <w:lvlText w:val="o"/>
      <w:lvlJc w:val="left"/>
      <w:pPr>
        <w:ind w:left="34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B208E92">
      <w:start w:val="1"/>
      <w:numFmt w:val="bullet"/>
      <w:lvlText w:val="▪"/>
      <w:lvlJc w:val="left"/>
      <w:pPr>
        <w:ind w:left="41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ADA2BB4">
      <w:start w:val="1"/>
      <w:numFmt w:val="bullet"/>
      <w:lvlText w:val="•"/>
      <w:lvlJc w:val="left"/>
      <w:pPr>
        <w:ind w:left="48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F78DE64">
      <w:start w:val="1"/>
      <w:numFmt w:val="bullet"/>
      <w:lvlText w:val="o"/>
      <w:lvlJc w:val="left"/>
      <w:pPr>
        <w:ind w:left="55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566F3A0">
      <w:start w:val="1"/>
      <w:numFmt w:val="bullet"/>
      <w:lvlText w:val="▪"/>
      <w:lvlJc w:val="left"/>
      <w:pPr>
        <w:ind w:left="62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16cid:durableId="31999713">
    <w:abstractNumId w:val="5"/>
  </w:num>
  <w:num w:numId="2" w16cid:durableId="1130825566">
    <w:abstractNumId w:val="9"/>
  </w:num>
  <w:num w:numId="3" w16cid:durableId="1049305202">
    <w:abstractNumId w:val="2"/>
  </w:num>
  <w:num w:numId="4" w16cid:durableId="1952546738">
    <w:abstractNumId w:val="8"/>
  </w:num>
  <w:num w:numId="5" w16cid:durableId="202180056">
    <w:abstractNumId w:val="3"/>
  </w:num>
  <w:num w:numId="6" w16cid:durableId="1830559854">
    <w:abstractNumId w:val="7"/>
  </w:num>
  <w:num w:numId="7" w16cid:durableId="620111561">
    <w:abstractNumId w:val="6"/>
  </w:num>
  <w:num w:numId="8" w16cid:durableId="1296523403">
    <w:abstractNumId w:val="0"/>
  </w:num>
  <w:num w:numId="9" w16cid:durableId="590625188">
    <w:abstractNumId w:val="1"/>
  </w:num>
  <w:num w:numId="10" w16cid:durableId="1511382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8A6"/>
    <w:rsid w:val="006C08A6"/>
    <w:rsid w:val="008B5458"/>
    <w:rsid w:val="00BD1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8356E"/>
  <w15:docId w15:val="{75AC9DF7-1876-4CDF-AF9B-D348570B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9" w:line="252" w:lineRule="auto"/>
      <w:ind w:left="10" w:hanging="10"/>
      <w:jc w:val="both"/>
    </w:pPr>
    <w:rPr>
      <w:rFonts w:ascii="Times New Roman" w:eastAsia="Times New Roman" w:hAnsi="Times New Roman" w:cs="Times New Roman"/>
      <w:color w:val="000000"/>
      <w:sz w:val="21"/>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000000"/>
      <w:sz w:val="38"/>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36"/>
      <w:ind w:left="10" w:hanging="10"/>
      <w:outlineLvl w:val="2"/>
    </w:pPr>
    <w:rPr>
      <w:rFonts w:ascii="Calibri" w:eastAsia="Calibri" w:hAnsi="Calibri" w:cs="Calibri"/>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3"/>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38"/>
    </w:rPr>
  </w:style>
  <w:style w:type="paragraph" w:customStyle="1" w:styleId="footnotedescription">
    <w:name w:val="footnote description"/>
    <w:next w:val="Normal"/>
    <w:link w:val="footnotedescriptionChar"/>
    <w:hidden/>
    <w:pPr>
      <w:spacing w:after="0"/>
      <w:ind w:left="137" w:hanging="137"/>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Pr>
      <w:rFonts w:ascii="Times New Roman" w:eastAsia="Times New Roman" w:hAnsi="Times New Roman" w:cs="Times New Roman"/>
      <w:color w:val="000000"/>
      <w:sz w:val="16"/>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47" Type="http://schemas.openxmlformats.org/officeDocument/2006/relationships/image" Target="media/image2.jpg"/><Relationship Id="rId50" Type="http://schemas.openxmlformats.org/officeDocument/2006/relationships/image" Target="media/image20.jpg"/><Relationship Id="rId55" Type="http://schemas.openxmlformats.org/officeDocument/2006/relationships/image" Target="media/image30.jpg"/><Relationship Id="rId63" Type="http://schemas.openxmlformats.org/officeDocument/2006/relationships/image" Target="media/image6.jpg"/><Relationship Id="rId68" Type="http://schemas.openxmlformats.org/officeDocument/2006/relationships/footer" Target="footer9.xml"/><Relationship Id="rId76" Type="http://schemas.openxmlformats.org/officeDocument/2006/relationships/footer" Target="footer10.xml"/><Relationship Id="rId84" Type="http://schemas.openxmlformats.org/officeDocument/2006/relationships/footer" Target="footer16.xml"/><Relationship Id="rId89" Type="http://schemas.openxmlformats.org/officeDocument/2006/relationships/footer" Target="footer21.xml"/><Relationship Id="rId7" Type="http://schemas.openxmlformats.org/officeDocument/2006/relationships/image" Target="media/image1.jpg"/><Relationship Id="rId71" Type="http://schemas.openxmlformats.org/officeDocument/2006/relationships/image" Target="media/image11.jpg"/><Relationship Id="rId2" Type="http://schemas.openxmlformats.org/officeDocument/2006/relationships/styles" Target="styles.xml"/><Relationship Id="rId53" Type="http://schemas.openxmlformats.org/officeDocument/2006/relationships/footer" Target="footer3.xml"/><Relationship Id="rId58" Type="http://schemas.openxmlformats.org/officeDocument/2006/relationships/footer" Target="footer5.xml"/><Relationship Id="rId66" Type="http://schemas.openxmlformats.org/officeDocument/2006/relationships/footer" Target="footer7.xml"/><Relationship Id="rId74" Type="http://schemas.openxmlformats.org/officeDocument/2006/relationships/image" Target="media/image13.jpg"/><Relationship Id="rId79" Type="http://schemas.openxmlformats.org/officeDocument/2006/relationships/image" Target="media/image14.jpg"/><Relationship Id="rId87" Type="http://schemas.openxmlformats.org/officeDocument/2006/relationships/footer" Target="footer19.xml"/><Relationship Id="rId5" Type="http://schemas.openxmlformats.org/officeDocument/2006/relationships/footnotes" Target="footnotes.xml"/><Relationship Id="rId61" Type="http://schemas.openxmlformats.org/officeDocument/2006/relationships/image" Target="media/image7.jpg"/><Relationship Id="rId82" Type="http://schemas.openxmlformats.org/officeDocument/2006/relationships/footer" Target="footer14.xml"/><Relationship Id="rId90" Type="http://schemas.openxmlformats.org/officeDocument/2006/relationships/fontTable" Target="fontTable.xml"/><Relationship Id="rId52" Type="http://schemas.openxmlformats.org/officeDocument/2006/relationships/footer" Target="footer2.xml"/><Relationship Id="rId60" Type="http://schemas.openxmlformats.org/officeDocument/2006/relationships/image" Target="media/image6.png"/><Relationship Id="rId65" Type="http://schemas.openxmlformats.org/officeDocument/2006/relationships/image" Target="media/image70.jpg"/><Relationship Id="rId73" Type="http://schemas.openxmlformats.org/officeDocument/2006/relationships/image" Target="media/image100.jpg"/><Relationship Id="rId78" Type="http://schemas.openxmlformats.org/officeDocument/2006/relationships/footer" Target="footer12.xml"/><Relationship Id="rId81" Type="http://schemas.openxmlformats.org/officeDocument/2006/relationships/footer" Target="footer13.xml"/><Relationship Id="rId86" Type="http://schemas.openxmlformats.org/officeDocument/2006/relationships/footer" Target="footer18.xml"/><Relationship Id="rId4" Type="http://schemas.openxmlformats.org/officeDocument/2006/relationships/webSettings" Target="webSettings.xml"/><Relationship Id="rId48" Type="http://schemas.openxmlformats.org/officeDocument/2006/relationships/image" Target="media/image15.jpg"/><Relationship Id="rId56" Type="http://schemas.openxmlformats.org/officeDocument/2006/relationships/image" Target="media/image5.jpg"/><Relationship Id="rId64" Type="http://schemas.openxmlformats.org/officeDocument/2006/relationships/image" Target="media/image9.jpg"/><Relationship Id="rId69" Type="http://schemas.openxmlformats.org/officeDocument/2006/relationships/image" Target="media/image10.jpg"/><Relationship Id="rId77" Type="http://schemas.openxmlformats.org/officeDocument/2006/relationships/footer" Target="footer11.xml"/><Relationship Id="rId51" Type="http://schemas.openxmlformats.org/officeDocument/2006/relationships/footer" Target="footer1.xml"/><Relationship Id="rId72" Type="http://schemas.openxmlformats.org/officeDocument/2006/relationships/image" Target="media/image12.jpg"/><Relationship Id="rId80" Type="http://schemas.openxmlformats.org/officeDocument/2006/relationships/image" Target="media/image120.jpg"/><Relationship Id="rId85" Type="http://schemas.openxmlformats.org/officeDocument/2006/relationships/footer" Target="footer17.xml"/><Relationship Id="rId3" Type="http://schemas.openxmlformats.org/officeDocument/2006/relationships/settings" Target="settings.xml"/><Relationship Id="rId46" Type="http://schemas.openxmlformats.org/officeDocument/2006/relationships/image" Target="media/image0.jpg"/><Relationship Id="rId59" Type="http://schemas.openxmlformats.org/officeDocument/2006/relationships/footer" Target="footer6.xml"/><Relationship Id="rId67" Type="http://schemas.openxmlformats.org/officeDocument/2006/relationships/footer" Target="footer8.xml"/><Relationship Id="rId54" Type="http://schemas.openxmlformats.org/officeDocument/2006/relationships/image" Target="media/image4.jpg"/><Relationship Id="rId62" Type="http://schemas.openxmlformats.org/officeDocument/2006/relationships/image" Target="media/image8.jpg"/><Relationship Id="rId70" Type="http://schemas.openxmlformats.org/officeDocument/2006/relationships/image" Target="media/image80.jpg"/><Relationship Id="rId75" Type="http://schemas.openxmlformats.org/officeDocument/2006/relationships/image" Target="media/image110.jpg"/><Relationship Id="rId83" Type="http://schemas.openxmlformats.org/officeDocument/2006/relationships/footer" Target="footer15.xml"/><Relationship Id="rId88" Type="http://schemas.openxmlformats.org/officeDocument/2006/relationships/footer" Target="footer20.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3.jpg"/><Relationship Id="rId5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13250</Words>
  <Characters>75528</Characters>
  <Application>Microsoft Office Word</Application>
  <DocSecurity>0</DocSecurity>
  <Lines>629</Lines>
  <Paragraphs>177</Paragraphs>
  <ScaleCrop>false</ScaleCrop>
  <Company/>
  <LinksUpToDate>false</LinksUpToDate>
  <CharactersWithSpaces>88601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llcuong</dc:creator>
  <cp:keywords/>
  <cp:lastModifiedBy>llcuong</cp:lastModifiedBy>
  <cp:revision>2</cp:revision>
  <dcterms:created xsi:type="dcterms:W3CDTF">2025-08-19T15:07:00Z</dcterms:created>
  <dcterms:modified xsi:type="dcterms:W3CDTF">2025-08-19T15:07:00Z</dcterms:modified>
</cp:coreProperties>
</file>