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E4B88" w14:textId="25965324" w:rsidR="00B840DC" w:rsidRPr="004815A0" w:rsidRDefault="00D47CC5">
      <w:pPr>
        <w:rPr>
          <w:b/>
          <w:sz w:val="26"/>
          <w:szCs w:val="26"/>
          <w:lang w:val="en-GB"/>
        </w:rPr>
      </w:pPr>
      <w:r>
        <w:rPr>
          <w:b/>
          <w:sz w:val="26"/>
          <w:szCs w:val="26"/>
          <w:lang w:val="en-GB"/>
        </w:rPr>
        <w:t>Introduction</w:t>
      </w:r>
    </w:p>
    <w:p w14:paraId="46846544" w14:textId="77777777" w:rsidR="00B840DC" w:rsidRPr="004815A0" w:rsidRDefault="00B840DC">
      <w:pPr>
        <w:rPr>
          <w:lang w:val="en-GB"/>
        </w:rPr>
      </w:pPr>
    </w:p>
    <w:p w14:paraId="602DB8C5" w14:textId="77777777" w:rsidR="00B840DC" w:rsidRPr="004815A0" w:rsidRDefault="002164CF">
      <w:pPr>
        <w:rPr>
          <w:lang w:val="en-GB"/>
        </w:rPr>
      </w:pPr>
      <w:r w:rsidRPr="004815A0">
        <w:rPr>
          <w:lang w:val="en-GB"/>
        </w:rPr>
        <w:t xml:space="preserve">The first ESCB/SSM hackathon on climate change took place from 14th to 16th November 2023 at the ECB in Frankfurt, Germany. The event was organized by ECB, Banca </w:t>
      </w:r>
      <w:proofErr w:type="spellStart"/>
      <w:r w:rsidRPr="004815A0">
        <w:rPr>
          <w:lang w:val="en-GB"/>
        </w:rPr>
        <w:t>d’Italia</w:t>
      </w:r>
      <w:proofErr w:type="spellEnd"/>
      <w:r w:rsidRPr="004815A0">
        <w:rPr>
          <w:lang w:val="en-GB"/>
        </w:rPr>
        <w:t xml:space="preserve">, Banque de France, and the European Commission (Copernicus Programme). </w:t>
      </w:r>
    </w:p>
    <w:p w14:paraId="551639F4" w14:textId="77777777" w:rsidR="00B840DC" w:rsidRPr="004815A0" w:rsidRDefault="00B840DC">
      <w:pPr>
        <w:rPr>
          <w:lang w:val="en-GB"/>
        </w:rPr>
      </w:pPr>
    </w:p>
    <w:p w14:paraId="50BA1E0E" w14:textId="77777777" w:rsidR="00B840DC" w:rsidRPr="004815A0" w:rsidRDefault="002164CF">
      <w:pPr>
        <w:rPr>
          <w:lang w:val="en-GB"/>
        </w:rPr>
      </w:pPr>
      <w:r w:rsidRPr="004815A0">
        <w:rPr>
          <w:lang w:val="en-GB"/>
        </w:rPr>
        <w:t>The research topic “Beat the heat with cool insights!” focused on assessing the impact of extreme weathers (heat waves and droughts) on agricultural and industrial production. Teams had a 24-hours programming time to solve the challenge. The following day was dedicated to the presentation of the team results, and a price ceremony in the presence of President Christine Lagarde.</w:t>
      </w:r>
    </w:p>
    <w:p w14:paraId="0F1FE5D1" w14:textId="77777777" w:rsidR="00B840DC" w:rsidRPr="004815A0" w:rsidRDefault="00B840DC">
      <w:pPr>
        <w:rPr>
          <w:lang w:val="en-GB"/>
        </w:rPr>
      </w:pPr>
    </w:p>
    <w:p w14:paraId="55C03786" w14:textId="77777777" w:rsidR="00B840DC" w:rsidRPr="004815A0" w:rsidRDefault="002164CF">
      <w:pPr>
        <w:rPr>
          <w:lang w:val="en-GB"/>
        </w:rPr>
      </w:pPr>
      <w:r w:rsidRPr="004815A0">
        <w:rPr>
          <w:lang w:val="en-GB"/>
        </w:rPr>
        <w:t xml:space="preserve">The Climate Change Challenge provided a good opportunity to expand technical knowledge and skills in manipulating climate data, extracting relevant insights, programming, and using advanced analytics within the ECB public cloud. As for all the previous hackathons, this was hands-on learning with enriching teamwork and networking sessions. </w:t>
      </w:r>
    </w:p>
    <w:p w14:paraId="4A1EFD26" w14:textId="77777777" w:rsidR="00B840DC" w:rsidRPr="004815A0" w:rsidRDefault="00B840DC">
      <w:pPr>
        <w:rPr>
          <w:lang w:val="en-GB"/>
        </w:rPr>
      </w:pPr>
    </w:p>
    <w:p w14:paraId="21E2831B" w14:textId="77777777" w:rsidR="00B840DC" w:rsidRPr="004815A0" w:rsidRDefault="002164CF">
      <w:pPr>
        <w:rPr>
          <w:lang w:val="en-GB"/>
        </w:rPr>
      </w:pPr>
      <w:r w:rsidRPr="004815A0">
        <w:rPr>
          <w:lang w:val="en-GB"/>
        </w:rPr>
        <w:t>Around 60 participants from almost all the EU central banks with different experience, knowledge, or background in data science, statistics, computer science, climate and environmental sciences, economics, and/or macro- and micro-prudential risks gathered in Frankfurt and worked in eight mixed teams for three days. The project had to be delivered in 24 hours, so people worked day and night, some without any breaks. The atmosphere was exciting and at the same time stressful due to the limited time available and the complexity of the project required.</w:t>
      </w:r>
    </w:p>
    <w:p w14:paraId="09CC76A8" w14:textId="77777777" w:rsidR="00B840DC" w:rsidRPr="004815A0" w:rsidRDefault="00B840DC">
      <w:pPr>
        <w:rPr>
          <w:lang w:val="en-GB"/>
        </w:rPr>
      </w:pPr>
    </w:p>
    <w:p w14:paraId="03F0C854" w14:textId="77777777" w:rsidR="00B840DC" w:rsidRPr="004815A0" w:rsidRDefault="002164CF">
      <w:pPr>
        <w:rPr>
          <w:lang w:val="en-GB"/>
        </w:rPr>
      </w:pPr>
      <w:r w:rsidRPr="004815A0">
        <w:rPr>
          <w:lang w:val="en-GB"/>
        </w:rPr>
        <w:t>President Lagarde was present at the awards ceremony demonstrating a deep and profound interest in climate change.</w:t>
      </w:r>
    </w:p>
    <w:p w14:paraId="4741E1F5" w14:textId="77777777" w:rsidR="00B840DC" w:rsidRPr="004815A0" w:rsidRDefault="00B840DC">
      <w:pPr>
        <w:rPr>
          <w:lang w:val="en-GB"/>
        </w:rPr>
      </w:pPr>
    </w:p>
    <w:p w14:paraId="45864A9F" w14:textId="77777777" w:rsidR="00B840DC" w:rsidRPr="004815A0" w:rsidRDefault="00B840DC">
      <w:pPr>
        <w:rPr>
          <w:lang w:val="en-GB"/>
        </w:rPr>
      </w:pPr>
    </w:p>
    <w:p w14:paraId="4BE98EB4" w14:textId="77777777" w:rsidR="00B840DC" w:rsidRPr="004815A0" w:rsidRDefault="002164CF">
      <w:pPr>
        <w:pStyle w:val="Heading1"/>
        <w:rPr>
          <w:sz w:val="24"/>
          <w:szCs w:val="24"/>
          <w:lang w:val="en-GB"/>
        </w:rPr>
      </w:pPr>
      <w:r w:rsidRPr="004815A0">
        <w:rPr>
          <w:sz w:val="24"/>
          <w:szCs w:val="24"/>
          <w:lang w:val="en-GB"/>
        </w:rPr>
        <w:t>Deep dive in the work of the winning team</w:t>
      </w:r>
    </w:p>
    <w:p w14:paraId="5A145A2B" w14:textId="77777777" w:rsidR="00B840DC" w:rsidRPr="004815A0" w:rsidRDefault="00B840DC">
      <w:pPr>
        <w:rPr>
          <w:lang w:val="en-GB"/>
        </w:rPr>
      </w:pPr>
    </w:p>
    <w:p w14:paraId="59D40819" w14:textId="77777777" w:rsidR="00B840DC" w:rsidRDefault="002164CF">
      <w:pPr>
        <w:pStyle w:val="Heading1"/>
        <w:ind w:firstLine="0"/>
        <w:rPr>
          <w:i/>
        </w:rPr>
      </w:pPr>
      <w:r>
        <w:rPr>
          <w:i/>
        </w:rPr>
        <w:t>Data and variables</w:t>
      </w:r>
    </w:p>
    <w:p w14:paraId="3647972D" w14:textId="77777777" w:rsidR="00B840DC" w:rsidRPr="004815A0" w:rsidRDefault="002164CF">
      <w:pPr>
        <w:rPr>
          <w:lang w:val="en-GB"/>
        </w:rPr>
      </w:pPr>
      <w:r w:rsidRPr="004815A0">
        <w:rPr>
          <w:lang w:val="en-GB"/>
        </w:rPr>
        <w:t xml:space="preserve">To tackle this challenge, the team used data on economic activity and climate variables. </w:t>
      </w:r>
    </w:p>
    <w:p w14:paraId="737F68FE" w14:textId="77777777" w:rsidR="00B840DC" w:rsidRPr="004815A0" w:rsidRDefault="002164CF">
      <w:pPr>
        <w:rPr>
          <w:lang w:val="en-GB"/>
        </w:rPr>
      </w:pPr>
      <w:r w:rsidRPr="004815A0">
        <w:rPr>
          <w:lang w:val="en-GB"/>
        </w:rPr>
        <w:t xml:space="preserve">On the one hand, the economic activity </w:t>
      </w:r>
      <w:proofErr w:type="gramStart"/>
      <w:r w:rsidRPr="004815A0">
        <w:rPr>
          <w:lang w:val="en-GB"/>
        </w:rPr>
        <w:t>were</w:t>
      </w:r>
      <w:proofErr w:type="gramEnd"/>
      <w:r w:rsidRPr="004815A0">
        <w:rPr>
          <w:lang w:val="en-GB"/>
        </w:rPr>
        <w:t xml:space="preserve"> retrieved from National Accounts in the “General and regional statistics” of the Eurostat Database. National Accounts are well-established statistics and are harmonized up to the NUTS-3 level. NUTS-3 region </w:t>
      </w:r>
      <w:proofErr w:type="gramStart"/>
      <w:r w:rsidRPr="004815A0">
        <w:rPr>
          <w:lang w:val="en-GB"/>
        </w:rPr>
        <w:t>are</w:t>
      </w:r>
      <w:proofErr w:type="gramEnd"/>
      <w:r w:rsidRPr="004815A0">
        <w:rPr>
          <w:lang w:val="en-GB"/>
        </w:rPr>
        <w:t xml:space="preserve"> relatively small as depicted by the small regions on Figure 1. For most regions, yearly data are available since 2003. The main variables of interest are the gross value added in the agriculture and in the manufacturing sectors</w:t>
      </w:r>
      <w:r>
        <w:rPr>
          <w:vertAlign w:val="superscript"/>
        </w:rPr>
        <w:footnoteReference w:id="1"/>
      </w:r>
      <w:r w:rsidRPr="004815A0">
        <w:rPr>
          <w:lang w:val="en-GB"/>
        </w:rPr>
        <w:t xml:space="preserve">. Gross value added is defined as output value at basic prices less intermediate consumption valued at purchasers’ prices. </w:t>
      </w:r>
    </w:p>
    <w:p w14:paraId="79EBDBB2" w14:textId="77777777" w:rsidR="00B840DC" w:rsidRPr="004815A0" w:rsidRDefault="00B840DC">
      <w:pPr>
        <w:rPr>
          <w:lang w:val="en-GB"/>
        </w:rPr>
      </w:pPr>
    </w:p>
    <w:p w14:paraId="68582C94" w14:textId="77777777" w:rsidR="00B840DC" w:rsidRPr="004815A0" w:rsidRDefault="002164CF">
      <w:pPr>
        <w:jc w:val="center"/>
        <w:rPr>
          <w:lang w:val="en-GB"/>
        </w:rPr>
      </w:pPr>
      <w:r w:rsidRPr="004815A0">
        <w:rPr>
          <w:lang w:val="en-GB"/>
        </w:rPr>
        <w:lastRenderedPageBreak/>
        <w:t xml:space="preserve">[map of max temp in 2001 and 2018 for comparison </w:t>
      </w:r>
      <w:proofErr w:type="gramStart"/>
      <w:r w:rsidRPr="004815A0">
        <w:rPr>
          <w:lang w:val="en-GB"/>
        </w:rPr>
        <w:t>illustration ?</w:t>
      </w:r>
      <w:proofErr w:type="gramEnd"/>
      <w:r w:rsidRPr="004815A0">
        <w:rPr>
          <w:lang w:val="en-GB"/>
        </w:rPr>
        <w:t xml:space="preserve"> ]</w:t>
      </w:r>
    </w:p>
    <w:p w14:paraId="19B31FC8" w14:textId="77777777" w:rsidR="00B840DC" w:rsidRPr="004815A0" w:rsidRDefault="00B840DC">
      <w:pPr>
        <w:rPr>
          <w:lang w:val="en-GB"/>
        </w:rPr>
      </w:pPr>
    </w:p>
    <w:p w14:paraId="07D6F25C" w14:textId="77777777" w:rsidR="00B840DC" w:rsidRPr="004815A0" w:rsidRDefault="002164CF">
      <w:pPr>
        <w:rPr>
          <w:lang w:val="en-GB"/>
        </w:rPr>
      </w:pPr>
      <w:r w:rsidRPr="004815A0">
        <w:rPr>
          <w:lang w:val="en-GB"/>
        </w:rPr>
        <w:t>On the other hand, drought and heat stress monthly data were retrieved from the European Drought Portal and Copernicus Climate Change Service. Variables included relevant drought and heat stress indicators, such as Standardized Precipitation Evapotranspiration Index (SPI), Soil moisture anomaly (SMA), low river flow index (LFI), a heatwave index (HWI), the Fraction of Absorbed Photosynthetically Active Radiation anomaly (FAPAR) and the Average maximum temperature (AMT). Most of them (</w:t>
      </w:r>
      <w:proofErr w:type="gramStart"/>
      <w:r w:rsidRPr="004815A0">
        <w:rPr>
          <w:lang w:val="en-GB"/>
        </w:rPr>
        <w:t>i.e.</w:t>
      </w:r>
      <w:proofErr w:type="gramEnd"/>
      <w:r w:rsidRPr="004815A0">
        <w:rPr>
          <w:lang w:val="en-GB"/>
        </w:rPr>
        <w:t xml:space="preserve"> SPI, LFI, FAPAR, HWI) were based on deviations from long-term averages. This particularity is essential to detect climate anomalies and quantity their severity since, as an example, while a summer mean air temperature average of 18°C in Luxembourg</w:t>
      </w:r>
      <w:r>
        <w:rPr>
          <w:vertAlign w:val="superscript"/>
        </w:rPr>
        <w:footnoteReference w:id="2"/>
      </w:r>
      <w:r w:rsidRPr="004815A0">
        <w:rPr>
          <w:lang w:val="en-GB"/>
        </w:rPr>
        <w:t xml:space="preserve"> would be considered as normal while 18°C in winter would obviously </w:t>
      </w:r>
      <w:proofErr w:type="gramStart"/>
      <w:r w:rsidRPr="004815A0">
        <w:rPr>
          <w:lang w:val="en-GB"/>
        </w:rPr>
        <w:t>considered</w:t>
      </w:r>
      <w:proofErr w:type="gramEnd"/>
      <w:r w:rsidRPr="004815A0">
        <w:rPr>
          <w:lang w:val="en-GB"/>
        </w:rPr>
        <w:t xml:space="preserve"> as an anomaly.</w:t>
      </w:r>
    </w:p>
    <w:p w14:paraId="5C1C5776" w14:textId="77777777" w:rsidR="00B840DC" w:rsidRPr="004815A0" w:rsidRDefault="00B840DC">
      <w:pPr>
        <w:rPr>
          <w:lang w:val="en-GB"/>
        </w:rPr>
      </w:pPr>
    </w:p>
    <w:tbl>
      <w:tblPr>
        <w:tblStyle w:val="a"/>
        <w:tblW w:w="9026" w:type="dxa"/>
        <w:tblBorders>
          <w:top w:val="nil"/>
          <w:left w:val="nil"/>
          <w:bottom w:val="nil"/>
          <w:right w:val="nil"/>
          <w:insideH w:val="nil"/>
          <w:insideV w:val="nil"/>
        </w:tblBorders>
        <w:tblLayout w:type="fixed"/>
        <w:tblLook w:val="0400" w:firstRow="0" w:lastRow="0" w:firstColumn="0" w:lastColumn="0" w:noHBand="0" w:noVBand="1"/>
      </w:tblPr>
      <w:tblGrid>
        <w:gridCol w:w="4594"/>
        <w:gridCol w:w="4432"/>
      </w:tblGrid>
      <w:tr w:rsidR="00B840DC" w:rsidRPr="004815A0" w14:paraId="2709EFFC" w14:textId="77777777">
        <w:tc>
          <w:tcPr>
            <w:tcW w:w="9026" w:type="dxa"/>
            <w:gridSpan w:val="2"/>
          </w:tcPr>
          <w:p w14:paraId="465431DE" w14:textId="77777777" w:rsidR="00B840DC" w:rsidRPr="004815A0" w:rsidRDefault="002164CF">
            <w:pPr>
              <w:jc w:val="center"/>
              <w:rPr>
                <w:lang w:val="en-GB"/>
              </w:rPr>
            </w:pPr>
            <w:r w:rsidRPr="004815A0">
              <w:rPr>
                <w:lang w:val="en-GB"/>
              </w:rPr>
              <w:t>Figure 1. NUTS-3 regions for Belgium</w:t>
            </w:r>
            <w:r>
              <w:rPr>
                <w:noProof/>
              </w:rPr>
              <mc:AlternateContent>
                <mc:Choice Requires="wps">
                  <w:drawing>
                    <wp:anchor distT="45720" distB="45720" distL="114300" distR="114300" simplePos="0" relativeHeight="251658240" behindDoc="0" locked="0" layoutInCell="1" hidden="0" allowOverlap="1" wp14:anchorId="408B345C" wp14:editId="37648F5B">
                      <wp:simplePos x="0" y="0"/>
                      <wp:positionH relativeFrom="column">
                        <wp:posOffset>496570</wp:posOffset>
                      </wp:positionH>
                      <wp:positionV relativeFrom="paragraph">
                        <wp:posOffset>252993</wp:posOffset>
                      </wp:positionV>
                      <wp:extent cx="3909695" cy="3208020"/>
                      <wp:effectExtent l="0" t="0" r="0" b="0"/>
                      <wp:wrapTopAndBottom distT="45720" distB="45720"/>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9695" cy="3208020"/>
                              </a:xfrm>
                              <a:prstGeom prst="rect">
                                <a:avLst/>
                              </a:prstGeom>
                              <a:solidFill>
                                <a:srgbClr val="FFFFFF"/>
                              </a:solidFill>
                              <a:ln w="9525">
                                <a:noFill/>
                                <a:miter lim="800000"/>
                                <a:headEnd/>
                                <a:tailEnd/>
                              </a:ln>
                            </wps:spPr>
                            <wps:txbx>
                              <w:txbxContent>
                                <w:p w14:paraId="5226C9A7" w14:textId="77777777" w:rsidR="002164CF" w:rsidRPr="008944F6" w:rsidRDefault="002164CF" w:rsidP="008944F6">
                                  <w:pPr>
                                    <w:jc w:val="right"/>
                                    <w:rPr>
                                      <w:lang w:val="en-US"/>
                                    </w:rPr>
                                  </w:pPr>
                                  <w:r>
                                    <w:rPr>
                                      <w:noProof/>
                                      <w:lang w:val="en-US"/>
                                    </w:rPr>
                                    <w:drawing>
                                      <wp:inline distT="0" distB="0" distL="0" distR="0" wp14:anchorId="7F7C92CE" wp14:editId="6918F6B5">
                                        <wp:extent cx="3289935" cy="310769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89935" cy="3107690"/>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type w14:anchorId="408B345C" id="_x0000_t202" coordsize="21600,21600" o:spt="202" path="m,l,21600r21600,l21600,xe">
                      <v:stroke joinstyle="miter"/>
                      <v:path gradientshapeok="t" o:connecttype="rect"/>
                    </v:shapetype>
                    <v:shape id="Text Box 219" o:spid="_x0000_s1026" type="#_x0000_t202" style="position:absolute;left:0;text-align:left;margin-left:39.1pt;margin-top:19.9pt;width:307.85pt;height:252.6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" stroked="f">
                      <v:textbox>
                        <w:txbxContent>
                          <w:p w14:paraId="5226C9A7" w14:textId="77777777" w:rsidR="002164CF" w:rsidRPr="008944F6" w:rsidRDefault="002164CF" w:rsidP="008944F6">
                            <w:pPr>
                              <w:jc w:val="right"/>
                              <w:rPr>
                                <w:lang w:val="en-US"/>
                              </w:rPr>
                            </w:pPr>
                            <w:r>
                              <w:rPr>
                                <w:noProof/>
                                <w:lang w:val="en-US"/>
                              </w:rPr>
                              <w:drawing>
                                <wp:inline distT="0" distB="0" distL="0" distR="0" wp14:anchorId="7F7C92CE" wp14:editId="6918F6B5">
                                  <wp:extent cx="3289935" cy="310769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89935" cy="3107690"/>
                                          </a:xfrm>
                                          <a:prstGeom prst="rect">
                                            <a:avLst/>
                                          </a:prstGeom>
                                        </pic:spPr>
                                      </pic:pic>
                                    </a:graphicData>
                                  </a:graphic>
                                </wp:inline>
                              </w:drawing>
                            </w:r>
                          </w:p>
                        </w:txbxContent>
                      </v:textbox>
                      <w10:wrap type="topAndBottom"/>
                    </v:shape>
                  </w:pict>
                </mc:Fallback>
              </mc:AlternateContent>
            </w:r>
          </w:p>
        </w:tc>
      </w:tr>
      <w:tr w:rsidR="00B840DC" w:rsidRPr="004815A0" w14:paraId="13424936" w14:textId="77777777">
        <w:tc>
          <w:tcPr>
            <w:tcW w:w="4594" w:type="dxa"/>
            <w:vAlign w:val="center"/>
          </w:tcPr>
          <w:p w14:paraId="43486453" w14:textId="77777777" w:rsidR="00B840DC" w:rsidRPr="004815A0" w:rsidRDefault="00B840DC">
            <w:pPr>
              <w:rPr>
                <w:lang w:val="en-GB"/>
              </w:rPr>
            </w:pPr>
          </w:p>
        </w:tc>
        <w:tc>
          <w:tcPr>
            <w:tcW w:w="4432" w:type="dxa"/>
          </w:tcPr>
          <w:p w14:paraId="4B3D8C75" w14:textId="77777777" w:rsidR="00B840DC" w:rsidRPr="004815A0" w:rsidRDefault="00B840DC">
            <w:pPr>
              <w:rPr>
                <w:lang w:val="en-GB"/>
              </w:rPr>
            </w:pPr>
          </w:p>
        </w:tc>
      </w:tr>
    </w:tbl>
    <w:p w14:paraId="70FF54E3" w14:textId="77777777" w:rsidR="00B840DC" w:rsidRDefault="002164CF">
      <w:pPr>
        <w:pStyle w:val="Heading1"/>
        <w:ind w:firstLine="0"/>
        <w:rPr>
          <w:i/>
        </w:rPr>
      </w:pPr>
      <w:bookmarkStart w:id="0" w:name="_heading=h.30j0zll" w:colFirst="0" w:colLast="0"/>
      <w:bookmarkEnd w:id="0"/>
      <w:proofErr w:type="spellStart"/>
      <w:r>
        <w:rPr>
          <w:i/>
        </w:rPr>
        <w:t>Exploratory</w:t>
      </w:r>
      <w:proofErr w:type="spellEnd"/>
      <w:r>
        <w:rPr>
          <w:i/>
        </w:rPr>
        <w:t xml:space="preserve"> </w:t>
      </w:r>
      <w:proofErr w:type="spellStart"/>
      <w:r>
        <w:rPr>
          <w:i/>
        </w:rPr>
        <w:t>analysis</w:t>
      </w:r>
      <w:proofErr w:type="spellEnd"/>
    </w:p>
    <w:p w14:paraId="0E68721E" w14:textId="77777777" w:rsidR="00B840DC" w:rsidRDefault="00B840DC"/>
    <w:p w14:paraId="57EEA0DE" w14:textId="77777777" w:rsidR="00B840DC" w:rsidRPr="004815A0" w:rsidRDefault="002164CF">
      <w:pPr>
        <w:rPr>
          <w:lang w:val="en-GB"/>
        </w:rPr>
      </w:pPr>
      <w:bookmarkStart w:id="1" w:name="_heading=h.1fob9te" w:colFirst="0" w:colLast="0"/>
      <w:bookmarkEnd w:id="1"/>
      <w:r w:rsidRPr="004815A0">
        <w:rPr>
          <w:lang w:val="en-GB"/>
        </w:rPr>
        <w:t xml:space="preserve">From the exploratory work using descriptive statistics, we found that sectorial economic variables alone were good predictors of the sectorial gross value added. As a result, since the importance of the challenge is to understand the mechanisms under which climate data affects production, it was decided to include these economic variables as controls to isolate the effect of climate variables on production. </w:t>
      </w:r>
    </w:p>
    <w:p w14:paraId="789E58C9" w14:textId="77777777" w:rsidR="00B840DC" w:rsidRPr="004815A0" w:rsidRDefault="002164CF">
      <w:pPr>
        <w:rPr>
          <w:lang w:val="en-GB"/>
        </w:rPr>
      </w:pPr>
      <w:r w:rsidRPr="004815A0">
        <w:rPr>
          <w:lang w:val="en-GB"/>
        </w:rPr>
        <w:t xml:space="preserve">Then, </w:t>
      </w:r>
      <w:proofErr w:type="gramStart"/>
      <w:r w:rsidRPr="004815A0">
        <w:rPr>
          <w:lang w:val="en-GB"/>
        </w:rPr>
        <w:t>short-term</w:t>
      </w:r>
      <w:proofErr w:type="gramEnd"/>
      <w:r w:rsidRPr="004815A0">
        <w:rPr>
          <w:lang w:val="en-GB"/>
        </w:rPr>
        <w:t xml:space="preserve"> and long-term drought were characterized using respectively the precipitation anomalies based on a comparison of observed total precipitation amounts for an </w:t>
      </w:r>
      <w:r w:rsidRPr="004815A0">
        <w:rPr>
          <w:lang w:val="en-GB"/>
        </w:rPr>
        <w:lastRenderedPageBreak/>
        <w:t>accumulation of respectively 1 month and 12 months. Similarly, the heat wave index</w:t>
      </w:r>
      <w:r w:rsidRPr="004815A0">
        <w:rPr>
          <w:sz w:val="20"/>
          <w:szCs w:val="20"/>
          <w:lang w:val="en-GB"/>
        </w:rPr>
        <w:t>)</w:t>
      </w:r>
      <w:r>
        <w:rPr>
          <w:vertAlign w:val="superscript"/>
        </w:rPr>
        <w:footnoteReference w:id="3"/>
      </w:r>
      <w:r w:rsidRPr="004815A0">
        <w:rPr>
          <w:lang w:val="en-GB"/>
        </w:rPr>
        <w:t xml:space="preserve">, indicating the severity of a heatwave, and the number of heat waves in a specific year were used as a detector of a heat wave. Lastly, to capture the compounding effect of a drought and a heatwave, we created variables determining short and long term, mild, </w:t>
      </w:r>
      <w:proofErr w:type="gramStart"/>
      <w:r w:rsidRPr="004815A0">
        <w:rPr>
          <w:lang w:val="en-GB"/>
        </w:rPr>
        <w:t>moderate</w:t>
      </w:r>
      <w:proofErr w:type="gramEnd"/>
      <w:r w:rsidRPr="004815A0">
        <w:rPr>
          <w:lang w:val="en-GB"/>
        </w:rPr>
        <w:t xml:space="preserve"> and severe droughts associated with a heatwave. </w:t>
      </w:r>
    </w:p>
    <w:p w14:paraId="6DC105B0" w14:textId="77777777" w:rsidR="00B840DC" w:rsidRPr="004815A0" w:rsidRDefault="002164CF">
      <w:pPr>
        <w:rPr>
          <w:lang w:val="en-GB"/>
        </w:rPr>
      </w:pPr>
      <w:r w:rsidRPr="004815A0">
        <w:rPr>
          <w:lang w:val="en-GB"/>
        </w:rPr>
        <w:t xml:space="preserve">Because regional characteristics play a crucial role, the model includes spatial controls to assess whether a region is distinguished by mountains, a coastal boundary, or elevated levels of urbanization. Then, since many climate events are shared within a </w:t>
      </w:r>
      <w:proofErr w:type="spellStart"/>
      <w:r w:rsidRPr="004815A0">
        <w:rPr>
          <w:lang w:val="en-GB"/>
        </w:rPr>
        <w:t>neighboring</w:t>
      </w:r>
      <w:proofErr w:type="spellEnd"/>
      <w:r w:rsidRPr="004815A0">
        <w:rPr>
          <w:lang w:val="en-GB"/>
        </w:rPr>
        <w:t xml:space="preserve"> region, for each month of each region, we created new “</w:t>
      </w:r>
      <w:proofErr w:type="spellStart"/>
      <w:r w:rsidRPr="004815A0">
        <w:rPr>
          <w:lang w:val="en-GB"/>
        </w:rPr>
        <w:t>neighbor</w:t>
      </w:r>
      <w:proofErr w:type="spellEnd"/>
      <w:r w:rsidRPr="004815A0">
        <w:rPr>
          <w:lang w:val="en-GB"/>
        </w:rPr>
        <w:t xml:space="preserve">” variables (NN) by taking the average of a variable (typically the Standardized Precipitation Index, Low-Flow Index and Heat Wave index) of a </w:t>
      </w:r>
      <w:proofErr w:type="spellStart"/>
      <w:r w:rsidRPr="004815A0">
        <w:rPr>
          <w:lang w:val="en-GB"/>
        </w:rPr>
        <w:t>neighboring</w:t>
      </w:r>
      <w:proofErr w:type="spellEnd"/>
      <w:r w:rsidRPr="004815A0">
        <w:rPr>
          <w:lang w:val="en-GB"/>
        </w:rPr>
        <w:t xml:space="preserve"> region as illustrated by Figure 2.</w:t>
      </w:r>
    </w:p>
    <w:p w14:paraId="210415B8" w14:textId="77777777" w:rsidR="00B840DC" w:rsidRPr="004815A0" w:rsidRDefault="00B840DC">
      <w:pPr>
        <w:rPr>
          <w:lang w:val="en-GB"/>
        </w:rPr>
      </w:pPr>
    </w:p>
    <w:tbl>
      <w:tblPr>
        <w:tblStyle w:val="a0"/>
        <w:tblW w:w="9026" w:type="dxa"/>
        <w:tblBorders>
          <w:top w:val="nil"/>
          <w:left w:val="nil"/>
          <w:bottom w:val="nil"/>
          <w:right w:val="nil"/>
          <w:insideH w:val="nil"/>
          <w:insideV w:val="nil"/>
        </w:tblBorders>
        <w:tblLayout w:type="fixed"/>
        <w:tblLook w:val="0400" w:firstRow="0" w:lastRow="0" w:firstColumn="0" w:lastColumn="0" w:noHBand="0" w:noVBand="1"/>
      </w:tblPr>
      <w:tblGrid>
        <w:gridCol w:w="3937"/>
        <w:gridCol w:w="5089"/>
      </w:tblGrid>
      <w:tr w:rsidR="00B840DC" w14:paraId="297E10FC" w14:textId="77777777">
        <w:tc>
          <w:tcPr>
            <w:tcW w:w="3937" w:type="dxa"/>
          </w:tcPr>
          <w:p w14:paraId="34C1F329" w14:textId="77777777" w:rsidR="00B840DC" w:rsidRPr="004815A0" w:rsidRDefault="002164CF">
            <w:pPr>
              <w:rPr>
                <w:lang w:val="en-GB"/>
              </w:rPr>
            </w:pPr>
            <w:r w:rsidRPr="004815A0">
              <w:rPr>
                <w:lang w:val="en-GB"/>
              </w:rPr>
              <w:t xml:space="preserve">Figure 2. Example of Nearest </w:t>
            </w:r>
            <w:proofErr w:type="spellStart"/>
            <w:r w:rsidRPr="004815A0">
              <w:rPr>
                <w:lang w:val="en-GB"/>
              </w:rPr>
              <w:t>Neighbors</w:t>
            </w:r>
            <w:proofErr w:type="spellEnd"/>
            <w:r w:rsidRPr="004815A0">
              <w:rPr>
                <w:lang w:val="en-GB"/>
              </w:rPr>
              <w:t xml:space="preserve"> aggregation of the SPI at time </w:t>
            </w:r>
            <w:r w:rsidRPr="004815A0">
              <w:rPr>
                <w:i/>
                <w:lang w:val="en-GB"/>
              </w:rPr>
              <w:t>t</w:t>
            </w:r>
          </w:p>
        </w:tc>
        <w:tc>
          <w:tcPr>
            <w:tcW w:w="5089" w:type="dxa"/>
          </w:tcPr>
          <w:p w14:paraId="0F9A3208" w14:textId="77777777" w:rsidR="00B840DC" w:rsidRDefault="002164CF">
            <w:r>
              <w:t xml:space="preserve">Figure 3. </w:t>
            </w:r>
            <w:proofErr w:type="spellStart"/>
            <w:r>
              <w:t>Correlation</w:t>
            </w:r>
            <w:proofErr w:type="spellEnd"/>
            <w:r>
              <w:t xml:space="preserve"> Matrix of the </w:t>
            </w:r>
            <w:proofErr w:type="spellStart"/>
            <w:r>
              <w:t>median</w:t>
            </w:r>
            <w:proofErr w:type="spellEnd"/>
            <w:r>
              <w:t xml:space="preserve"> SPI01, SPI03, SPI06, SPI12</w:t>
            </w:r>
          </w:p>
        </w:tc>
      </w:tr>
      <w:tr w:rsidR="00B840DC" w14:paraId="55989F23" w14:textId="77777777">
        <w:tc>
          <w:tcPr>
            <w:tcW w:w="3937" w:type="dxa"/>
          </w:tcPr>
          <w:p w14:paraId="645E503D" w14:textId="77777777" w:rsidR="00B840DC" w:rsidRDefault="002164CF">
            <w:r>
              <w:rPr>
                <w:noProof/>
              </w:rPr>
              <mc:AlternateContent>
                <mc:Choice Requires="wps">
                  <w:drawing>
                    <wp:anchor distT="45720" distB="45720" distL="114300" distR="114300" simplePos="0" relativeHeight="251659264" behindDoc="0" locked="0" layoutInCell="1" hidden="0" allowOverlap="1" wp14:anchorId="27DC590C" wp14:editId="4B50E3AC">
                      <wp:simplePos x="0" y="0"/>
                      <wp:positionH relativeFrom="column">
                        <wp:posOffset>-37464</wp:posOffset>
                      </wp:positionH>
                      <wp:positionV relativeFrom="paragraph">
                        <wp:posOffset>148590</wp:posOffset>
                      </wp:positionV>
                      <wp:extent cx="2529840" cy="2112010"/>
                      <wp:effectExtent l="0" t="0" r="0" b="0"/>
                      <wp:wrapSquare wrapText="bothSides" distT="45720" distB="45720" distL="114300" distR="114300"/>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9840" cy="2112010"/>
                              </a:xfrm>
                              <a:prstGeom prst="rect">
                                <a:avLst/>
                              </a:prstGeom>
                              <a:solidFill>
                                <a:srgbClr val="FFFFFF"/>
                              </a:solidFill>
                              <a:ln w="9525">
                                <a:noFill/>
                                <a:miter lim="800000"/>
                                <a:headEnd/>
                                <a:tailEnd/>
                              </a:ln>
                            </wps:spPr>
                            <wps:txbx>
                              <w:txbxContent>
                                <w:p w14:paraId="31E1738E" w14:textId="77777777" w:rsidR="002164CF" w:rsidRPr="001A7EDD" w:rsidRDefault="002164CF" w:rsidP="003B768E">
                                  <w:pPr>
                                    <w:rPr>
                                      <w:rFonts w:eastAsiaTheme="minorEastAsia"/>
                                      <w:sz w:val="20"/>
                                    </w:rPr>
                                  </w:pPr>
                                  <m:oMathPara>
                                    <m:oMathParaPr>
                                      <m:jc m:val="center"/>
                                    </m:oMathParaPr>
                                    <m:oMath>
                                      <m:r>
                                        <w:rPr>
                                          <w:rFonts w:ascii="Cambria Math" w:hAnsi="Cambria Math"/>
                                          <w:sz w:val="20"/>
                                        </w:rPr>
                                        <m:t>N</m:t>
                                      </m:r>
                                      <m:sSub>
                                        <m:sSubPr>
                                          <m:ctrlPr>
                                            <w:rPr>
                                              <w:rFonts w:ascii="Cambria Math" w:hAnsi="Cambria Math"/>
                                              <w:i/>
                                              <w:sz w:val="20"/>
                                            </w:rPr>
                                          </m:ctrlPr>
                                        </m:sSubPr>
                                        <m:e>
                                          <m:r>
                                            <w:rPr>
                                              <w:rFonts w:ascii="Cambria Math" w:hAnsi="Cambria Math"/>
                                              <w:sz w:val="20"/>
                                            </w:rPr>
                                            <m:t>N</m:t>
                                          </m:r>
                                        </m:e>
                                        <m:sub>
                                          <m:r>
                                            <w:rPr>
                                              <w:rFonts w:ascii="Cambria Math" w:hAnsi="Cambria Math"/>
                                              <w:sz w:val="20"/>
                                            </w:rPr>
                                            <m:t>SP</m:t>
                                          </m:r>
                                          <m:sSub>
                                            <m:sSubPr>
                                              <m:ctrlPr>
                                                <w:rPr>
                                                  <w:rFonts w:ascii="Cambria Math" w:hAnsi="Cambria Math"/>
                                                  <w:i/>
                                                  <w:sz w:val="20"/>
                                                </w:rPr>
                                              </m:ctrlPr>
                                            </m:sSubPr>
                                            <m:e>
                                              <m:r>
                                                <w:rPr>
                                                  <w:rFonts w:ascii="Cambria Math" w:hAnsi="Cambria Math"/>
                                                  <w:sz w:val="20"/>
                                                </w:rPr>
                                                <m:t>I</m:t>
                                              </m:r>
                                            </m:e>
                                            <m:sub>
                                              <m:r>
                                                <w:rPr>
                                                  <w:rFonts w:ascii="Cambria Math" w:hAnsi="Cambria Math"/>
                                                  <w:sz w:val="20"/>
                                                </w:rPr>
                                                <m:t xml:space="preserve">  Yellow region</m:t>
                                              </m:r>
                                            </m:sub>
                                          </m:sSub>
                                        </m:sub>
                                      </m:sSub>
                                      <m:r>
                                        <w:rPr>
                                          <w:rFonts w:ascii="Cambria Math" w:hAnsi="Cambria Math"/>
                                          <w:sz w:val="20"/>
                                        </w:rPr>
                                        <m:t xml:space="preserve">= </m:t>
                                      </m:r>
                                      <m:f>
                                        <m:fPr>
                                          <m:ctrlPr>
                                            <w:rPr>
                                              <w:rFonts w:ascii="Cambria Math" w:hAnsi="Cambria Math"/>
                                              <w:i/>
                                              <w:sz w:val="20"/>
                                            </w:rPr>
                                          </m:ctrlPr>
                                        </m:fPr>
                                        <m:num>
                                          <m:nary>
                                            <m:naryPr>
                                              <m:chr m:val="∑"/>
                                              <m:limLoc m:val="undOvr"/>
                                              <m:subHide m:val="1"/>
                                              <m:supHide m:val="1"/>
                                              <m:ctrlPr>
                                                <w:rPr>
                                                  <w:rFonts w:ascii="Cambria Math" w:hAnsi="Cambria Math"/>
                                                  <w:i/>
                                                  <w:sz w:val="20"/>
                                                </w:rPr>
                                              </m:ctrlPr>
                                            </m:naryPr>
                                            <m:sub/>
                                            <m:sup/>
                                            <m:e>
                                              <m:r>
                                                <w:rPr>
                                                  <w:rFonts w:ascii="Cambria Math" w:hAnsi="Cambria Math"/>
                                                  <w:sz w:val="20"/>
                                                </w:rPr>
                                                <m:t>SP</m:t>
                                              </m:r>
                                              <m:sSub>
                                                <m:sSubPr>
                                                  <m:ctrlPr>
                                                    <w:rPr>
                                                      <w:rFonts w:ascii="Cambria Math" w:hAnsi="Cambria Math"/>
                                                      <w:i/>
                                                      <w:sz w:val="20"/>
                                                    </w:rPr>
                                                  </m:ctrlPr>
                                                </m:sSubPr>
                                                <m:e>
                                                  <m:r>
                                                    <w:rPr>
                                                      <w:rFonts w:ascii="Cambria Math" w:hAnsi="Cambria Math"/>
                                                      <w:sz w:val="20"/>
                                                    </w:rPr>
                                                    <m:t>I</m:t>
                                                  </m:r>
                                                </m:e>
                                                <m:sub>
                                                  <m:r>
                                                    <w:rPr>
                                                      <w:rFonts w:ascii="Cambria Math" w:hAnsi="Cambria Math"/>
                                                      <w:sz w:val="20"/>
                                                    </w:rPr>
                                                    <m:t>Green regions</m:t>
                                                  </m:r>
                                                </m:sub>
                                              </m:sSub>
                                            </m:e>
                                          </m:nary>
                                        </m:num>
                                        <m:den>
                                          <m:sSub>
                                            <m:sSubPr>
                                              <m:ctrlPr>
                                                <w:rPr>
                                                  <w:rFonts w:ascii="Cambria Math" w:hAnsi="Cambria Math"/>
                                                  <w:i/>
                                                  <w:sz w:val="20"/>
                                                </w:rPr>
                                              </m:ctrlPr>
                                            </m:sSubPr>
                                            <m:e>
                                              <m:r>
                                                <w:rPr>
                                                  <w:rFonts w:ascii="Cambria Math" w:hAnsi="Cambria Math"/>
                                                  <w:sz w:val="20"/>
                                                </w:rPr>
                                                <m:t>N</m:t>
                                              </m:r>
                                            </m:e>
                                            <m:sub>
                                              <m:r>
                                                <w:rPr>
                                                  <w:rFonts w:ascii="Cambria Math" w:hAnsi="Cambria Math"/>
                                                  <w:sz w:val="20"/>
                                                </w:rPr>
                                                <m:t>Green regions</m:t>
                                              </m:r>
                                            </m:sub>
                                          </m:sSub>
                                        </m:den>
                                      </m:f>
                                    </m:oMath>
                                  </m:oMathPara>
                                </w:p>
                                <w:p w14:paraId="311AD133" w14:textId="77777777" w:rsidR="002164CF" w:rsidRPr="001A7EDD" w:rsidRDefault="002164CF" w:rsidP="003B768E">
                                  <w:pPr>
                                    <w:rPr>
                                      <w:sz w:val="20"/>
                                    </w:rPr>
                                  </w:pPr>
                                  <w:r w:rsidRPr="001A7EDD">
                                    <w:rPr>
                                      <w:noProof/>
                                      <w:sz w:val="20"/>
                                      <w:lang w:val="en-US"/>
                                    </w:rPr>
                                    <w:drawing>
                                      <wp:inline distT="0" distB="0" distL="0" distR="0" wp14:anchorId="7DBD7AA8" wp14:editId="6917775D">
                                        <wp:extent cx="1665055" cy="1143000"/>
                                        <wp:effectExtent l="0" t="0" r="0" b="0"/>
                                        <wp:docPr id="23" name="Google Shape;99;g29beb2e3560_0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Google Shape;99;g29beb2e3560_0_10"/>
                                                <pic:cNvPicPr preferRelativeResize="0"/>
                                              </pic:nvPicPr>
                                              <pic:blipFill>
                                                <a:blip r:embed="rId10">
                                                  <a:alphaModFix/>
                                                </a:blip>
                                                <a:stretch>
                                                  <a:fillRect/>
                                                </a:stretch>
                                              </pic:blipFill>
                                              <pic:spPr>
                                                <a:xfrm>
                                                  <a:off x="0" y="0"/>
                                                  <a:ext cx="1701293" cy="116787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anchor>
                  </w:drawing>
                </mc:Choice>
                <mc:Fallback>
                  <w:pict>
                    <v:shape w14:anchorId="27DC590C" id="Text Box 218" o:spid="_x0000_s1027" type="#_x0000_t202" style="position:absolute;left:0;text-align:left;margin-left:-2.95pt;margin-top:11.7pt;width:199.2pt;height:166.3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" stroked="f">
                      <v:textbox>
                        <w:txbxContent>
                          <w:p w14:paraId="31E1738E" w14:textId="77777777" w:rsidR="002164CF" w:rsidRPr="001A7EDD" w:rsidRDefault="002164CF" w:rsidP="003B768E">
                            <w:pPr>
                              <w:rPr>
                                <w:rFonts w:eastAsiaTheme="minorEastAsia"/>
                                <w:sz w:val="20"/>
                              </w:rPr>
                            </w:pPr>
                            <m:oMathPara>
                              <m:oMathParaPr>
                                <m:jc m:val="center"/>
                              </m:oMathParaPr>
                              <m:oMath>
                                <m:r>
                                  <w:rPr>
                                    <w:rFonts w:ascii="Cambria Math" w:hAnsi="Cambria Math"/>
                                    <w:sz w:val="20"/>
                                  </w:rPr>
                                  <m:t>N</m:t>
                                </m:r>
                                <m:sSub>
                                  <m:sSubPr>
                                    <m:ctrlPr>
                                      <w:rPr>
                                        <w:rFonts w:ascii="Cambria Math" w:hAnsi="Cambria Math"/>
                                        <w:i/>
                                        <w:sz w:val="20"/>
                                      </w:rPr>
                                    </m:ctrlPr>
                                  </m:sSubPr>
                                  <m:e>
                                    <m:r>
                                      <w:rPr>
                                        <w:rFonts w:ascii="Cambria Math" w:hAnsi="Cambria Math"/>
                                        <w:sz w:val="20"/>
                                      </w:rPr>
                                      <m:t>N</m:t>
                                    </m:r>
                                  </m:e>
                                  <m:sub>
                                    <m:r>
                                      <w:rPr>
                                        <w:rFonts w:ascii="Cambria Math" w:hAnsi="Cambria Math"/>
                                        <w:sz w:val="20"/>
                                      </w:rPr>
                                      <m:t>SP</m:t>
                                    </m:r>
                                    <m:sSub>
                                      <m:sSubPr>
                                        <m:ctrlPr>
                                          <w:rPr>
                                            <w:rFonts w:ascii="Cambria Math" w:hAnsi="Cambria Math"/>
                                            <w:i/>
                                            <w:sz w:val="20"/>
                                          </w:rPr>
                                        </m:ctrlPr>
                                      </m:sSubPr>
                                      <m:e>
                                        <m:r>
                                          <w:rPr>
                                            <w:rFonts w:ascii="Cambria Math" w:hAnsi="Cambria Math"/>
                                            <w:sz w:val="20"/>
                                          </w:rPr>
                                          <m:t>I</m:t>
                                        </m:r>
                                      </m:e>
                                      <m:sub>
                                        <m:r>
                                          <w:rPr>
                                            <w:rFonts w:ascii="Cambria Math" w:hAnsi="Cambria Math"/>
                                            <w:sz w:val="20"/>
                                          </w:rPr>
                                          <m:t xml:space="preserve">  Yellow region</m:t>
                                        </m:r>
                                      </m:sub>
                                    </m:sSub>
                                  </m:sub>
                                </m:sSub>
                                <m:r>
                                  <w:rPr>
                                    <w:rFonts w:ascii="Cambria Math" w:hAnsi="Cambria Math"/>
                                    <w:sz w:val="20"/>
                                  </w:rPr>
                                  <m:t xml:space="preserve">= </m:t>
                                </m:r>
                                <m:f>
                                  <m:fPr>
                                    <m:ctrlPr>
                                      <w:rPr>
                                        <w:rFonts w:ascii="Cambria Math" w:hAnsi="Cambria Math"/>
                                        <w:i/>
                                        <w:sz w:val="20"/>
                                      </w:rPr>
                                    </m:ctrlPr>
                                  </m:fPr>
                                  <m:num>
                                    <m:nary>
                                      <m:naryPr>
                                        <m:chr m:val="∑"/>
                                        <m:limLoc m:val="undOvr"/>
                                        <m:subHide m:val="1"/>
                                        <m:supHide m:val="1"/>
                                        <m:ctrlPr>
                                          <w:rPr>
                                            <w:rFonts w:ascii="Cambria Math" w:hAnsi="Cambria Math"/>
                                            <w:i/>
                                            <w:sz w:val="20"/>
                                          </w:rPr>
                                        </m:ctrlPr>
                                      </m:naryPr>
                                      <m:sub/>
                                      <m:sup/>
                                      <m:e>
                                        <m:r>
                                          <w:rPr>
                                            <w:rFonts w:ascii="Cambria Math" w:hAnsi="Cambria Math"/>
                                            <w:sz w:val="20"/>
                                          </w:rPr>
                                          <m:t>SP</m:t>
                                        </m:r>
                                        <m:sSub>
                                          <m:sSubPr>
                                            <m:ctrlPr>
                                              <w:rPr>
                                                <w:rFonts w:ascii="Cambria Math" w:hAnsi="Cambria Math"/>
                                                <w:i/>
                                                <w:sz w:val="20"/>
                                              </w:rPr>
                                            </m:ctrlPr>
                                          </m:sSubPr>
                                          <m:e>
                                            <m:r>
                                              <w:rPr>
                                                <w:rFonts w:ascii="Cambria Math" w:hAnsi="Cambria Math"/>
                                                <w:sz w:val="20"/>
                                              </w:rPr>
                                              <m:t>I</m:t>
                                            </m:r>
                                          </m:e>
                                          <m:sub>
                                            <m:r>
                                              <w:rPr>
                                                <w:rFonts w:ascii="Cambria Math" w:hAnsi="Cambria Math"/>
                                                <w:sz w:val="20"/>
                                              </w:rPr>
                                              <m:t>Green regions</m:t>
                                            </m:r>
                                          </m:sub>
                                        </m:sSub>
                                      </m:e>
                                    </m:nary>
                                  </m:num>
                                  <m:den>
                                    <m:sSub>
                                      <m:sSubPr>
                                        <m:ctrlPr>
                                          <w:rPr>
                                            <w:rFonts w:ascii="Cambria Math" w:hAnsi="Cambria Math"/>
                                            <w:i/>
                                            <w:sz w:val="20"/>
                                          </w:rPr>
                                        </m:ctrlPr>
                                      </m:sSubPr>
                                      <m:e>
                                        <m:r>
                                          <w:rPr>
                                            <w:rFonts w:ascii="Cambria Math" w:hAnsi="Cambria Math"/>
                                            <w:sz w:val="20"/>
                                          </w:rPr>
                                          <m:t>N</m:t>
                                        </m:r>
                                      </m:e>
                                      <m:sub>
                                        <m:r>
                                          <w:rPr>
                                            <w:rFonts w:ascii="Cambria Math" w:hAnsi="Cambria Math"/>
                                            <w:sz w:val="20"/>
                                          </w:rPr>
                                          <m:t>Green regions</m:t>
                                        </m:r>
                                      </m:sub>
                                    </m:sSub>
                                  </m:den>
                                </m:f>
                              </m:oMath>
                            </m:oMathPara>
                          </w:p>
                          <w:p w14:paraId="311AD133" w14:textId="77777777" w:rsidR="002164CF" w:rsidRPr="001A7EDD" w:rsidRDefault="002164CF" w:rsidP="003B768E">
                            <w:pPr>
                              <w:rPr>
                                <w:sz w:val="20"/>
                              </w:rPr>
                            </w:pPr>
                            <w:r w:rsidRPr="001A7EDD">
                              <w:rPr>
                                <w:noProof/>
                                <w:sz w:val="20"/>
                                <w:lang w:val="en-US"/>
                              </w:rPr>
                              <w:drawing>
                                <wp:inline distT="0" distB="0" distL="0" distR="0" wp14:anchorId="7DBD7AA8" wp14:editId="6917775D">
                                  <wp:extent cx="1665055" cy="1143000"/>
                                  <wp:effectExtent l="0" t="0" r="0" b="0"/>
                                  <wp:docPr id="23" name="Google Shape;99;g29beb2e3560_0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Google Shape;99;g29beb2e3560_0_10"/>
                                          <pic:cNvPicPr preferRelativeResize="0"/>
                                        </pic:nvPicPr>
                                        <pic:blipFill>
                                          <a:blip r:embed="rId10">
                                            <a:alphaModFix/>
                                          </a:blip>
                                          <a:stretch>
                                            <a:fillRect/>
                                          </a:stretch>
                                        </pic:blipFill>
                                        <pic:spPr>
                                          <a:xfrm>
                                            <a:off x="0" y="0"/>
                                            <a:ext cx="1701293" cy="1167876"/>
                                          </a:xfrm>
                                          <a:prstGeom prst="rect">
                                            <a:avLst/>
                                          </a:prstGeom>
                                          <a:noFill/>
                                          <a:ln>
                                            <a:noFill/>
                                          </a:ln>
                                        </pic:spPr>
                                      </pic:pic>
                                    </a:graphicData>
                                  </a:graphic>
                                </wp:inline>
                              </w:drawing>
                            </w:r>
                          </w:p>
                        </w:txbxContent>
                      </v:textbox>
                      <w10:wrap type="square"/>
                    </v:shape>
                  </w:pict>
                </mc:Fallback>
              </mc:AlternateContent>
            </w:r>
          </w:p>
        </w:tc>
        <w:tc>
          <w:tcPr>
            <w:tcW w:w="5089" w:type="dxa"/>
          </w:tcPr>
          <w:p w14:paraId="113912F3" w14:textId="77777777" w:rsidR="00B840DC" w:rsidRDefault="002164CF">
            <w:r>
              <w:rPr>
                <w:noProof/>
              </w:rPr>
              <w:drawing>
                <wp:inline distT="0" distB="0" distL="0" distR="0" wp14:anchorId="793B0DCE" wp14:editId="698D8D3F">
                  <wp:extent cx="3279391" cy="2699049"/>
                  <wp:effectExtent l="0" t="0" r="0" b="0"/>
                  <wp:docPr id="22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3279391" cy="2699049"/>
                          </a:xfrm>
                          <a:prstGeom prst="rect">
                            <a:avLst/>
                          </a:prstGeom>
                          <a:ln/>
                        </pic:spPr>
                      </pic:pic>
                    </a:graphicData>
                  </a:graphic>
                </wp:inline>
              </w:drawing>
            </w:r>
          </w:p>
        </w:tc>
      </w:tr>
    </w:tbl>
    <w:p w14:paraId="5B1DD7A8" w14:textId="77777777" w:rsidR="00B840DC" w:rsidRDefault="00B840DC"/>
    <w:p w14:paraId="22E72EFC" w14:textId="77777777" w:rsidR="00B840DC" w:rsidRPr="004815A0" w:rsidRDefault="002164CF">
      <w:pPr>
        <w:rPr>
          <w:lang w:val="en-GB"/>
        </w:rPr>
      </w:pPr>
      <w:r w:rsidRPr="004815A0">
        <w:rPr>
          <w:lang w:val="en-GB"/>
        </w:rPr>
        <w:t xml:space="preserve">It is important to note that a groundwork on feature selection was required to end-up with the above list of relevant variables. As an example, the SPI was available for precipitations accumulated for 1, 3, 6 and 12 months.  On Figure 3, the correlation matrix </w:t>
      </w:r>
      <w:proofErr w:type="gramStart"/>
      <w:r w:rsidRPr="004815A0">
        <w:rPr>
          <w:lang w:val="en-GB"/>
        </w:rPr>
        <w:t>emphasize</w:t>
      </w:r>
      <w:proofErr w:type="gramEnd"/>
      <w:r w:rsidRPr="004815A0">
        <w:rPr>
          <w:lang w:val="en-GB"/>
        </w:rPr>
        <w:t xml:space="preserve"> that there are high correlations between periods. As a result, to ensure to capture different effects using the SPI variables, only SPI01 and SPI12 were included in the model. In addition, SPI01 gives more information about soil moisture while SPI12 is more an indicator of ground water and reservoir storage. Among other techniques, OLS was </w:t>
      </w:r>
      <w:proofErr w:type="gramStart"/>
      <w:r w:rsidRPr="004815A0">
        <w:rPr>
          <w:lang w:val="en-GB"/>
        </w:rPr>
        <w:t>ran</w:t>
      </w:r>
      <w:proofErr w:type="gramEnd"/>
      <w:r w:rsidRPr="004815A0">
        <w:rPr>
          <w:lang w:val="en-GB"/>
        </w:rPr>
        <w:t xml:space="preserve"> to detect the most important features.</w:t>
      </w:r>
    </w:p>
    <w:p w14:paraId="1A02430E" w14:textId="77777777" w:rsidR="00B840DC" w:rsidRPr="004815A0" w:rsidRDefault="00B840DC">
      <w:pPr>
        <w:rPr>
          <w:lang w:val="en-GB"/>
        </w:rPr>
      </w:pPr>
    </w:p>
    <w:p w14:paraId="63D32AD4" w14:textId="77777777" w:rsidR="00B840DC" w:rsidRDefault="002164CF">
      <w:pPr>
        <w:pStyle w:val="Heading2"/>
        <w:ind w:firstLine="141"/>
        <w:rPr>
          <w:i/>
        </w:rPr>
      </w:pPr>
      <w:bookmarkStart w:id="2" w:name="_heading=h.3znysh7" w:colFirst="0" w:colLast="0"/>
      <w:bookmarkEnd w:id="2"/>
      <w:r>
        <w:rPr>
          <w:i/>
        </w:rPr>
        <w:t>Model</w:t>
      </w:r>
    </w:p>
    <w:p w14:paraId="371EF071" w14:textId="77777777" w:rsidR="00B840DC" w:rsidRPr="004815A0" w:rsidRDefault="002164CF">
      <w:pPr>
        <w:rPr>
          <w:lang w:val="en-GB"/>
        </w:rPr>
      </w:pPr>
      <w:r w:rsidRPr="004815A0">
        <w:rPr>
          <w:lang w:val="en-GB"/>
        </w:rPr>
        <w:t xml:space="preserve">Finally, </w:t>
      </w:r>
      <w:bookmarkStart w:id="3" w:name="_Hlk152681012"/>
      <w:r w:rsidRPr="004815A0">
        <w:rPr>
          <w:lang w:val="en-GB"/>
        </w:rPr>
        <w:t xml:space="preserve">the Histogram-based Gradient Boosting Regression Tree algorithm </w:t>
      </w:r>
      <w:bookmarkEnd w:id="3"/>
      <w:r w:rsidRPr="004815A0">
        <w:rPr>
          <w:lang w:val="en-GB"/>
        </w:rPr>
        <w:t xml:space="preserve">was chosen to </w:t>
      </w:r>
      <w:r w:rsidRPr="004815A0">
        <w:rPr>
          <w:lang w:val="en-GB"/>
        </w:rPr>
        <w:lastRenderedPageBreak/>
        <w:t>train data. The primary advantage of this technique is that the estimator has native support for missing values. When algorithms cannot handle missing values, even if only one value out of ten is missing in a row, no prediction can be estimated. Therefore, with an algorithm handling missing values, we were able to include the FAPAR variable that is available only from 2012, without discarding, nor imputing the 2001-2011 data. Other advantages concern binning, boosting and regularization</w:t>
      </w:r>
      <w:r>
        <w:rPr>
          <w:vertAlign w:val="superscript"/>
        </w:rPr>
        <w:footnoteReference w:id="4"/>
      </w:r>
      <w:r w:rsidRPr="004815A0">
        <w:rPr>
          <w:lang w:val="en-GB"/>
        </w:rPr>
        <w:t>.  In addition, to gain time in the cross-validation, we used the Halving Grid Search</w:t>
      </w:r>
      <w:r>
        <w:rPr>
          <w:vertAlign w:val="superscript"/>
        </w:rPr>
        <w:footnoteReference w:id="5"/>
      </w:r>
      <w:r w:rsidRPr="004815A0">
        <w:rPr>
          <w:lang w:val="en-GB"/>
        </w:rPr>
        <w:t xml:space="preserve"> for the tuning of hyperparameters in the model.</w:t>
      </w:r>
    </w:p>
    <w:p w14:paraId="38FAE855" w14:textId="77777777" w:rsidR="00B840DC" w:rsidRPr="004815A0" w:rsidRDefault="002164CF">
      <w:pPr>
        <w:rPr>
          <w:lang w:val="en-GB"/>
        </w:rPr>
      </w:pPr>
      <w:r w:rsidRPr="004815A0">
        <w:rPr>
          <w:lang w:val="en-GB"/>
        </w:rPr>
        <w:t xml:space="preserve">To assess the model, testing data were provided for the years 2019 and 2021. The model (trained on 2001-2018 data) provided good predictions of the gross value added in agriculture and manufacturing on testing data with and out of sample R-Squared of 85% and 83%. </w:t>
      </w:r>
    </w:p>
    <w:p w14:paraId="0CAFD116" w14:textId="77777777" w:rsidR="00B840DC" w:rsidRPr="004815A0" w:rsidRDefault="002164CF">
      <w:pPr>
        <w:rPr>
          <w:lang w:val="en-GB"/>
        </w:rPr>
      </w:pPr>
      <w:r w:rsidRPr="004815A0">
        <w:rPr>
          <w:lang w:val="en-GB"/>
        </w:rPr>
        <w:t xml:space="preserve">More interesting is the importance of the different features on the sectorial gross value added, </w:t>
      </w:r>
      <w:proofErr w:type="gramStart"/>
      <w:r w:rsidRPr="004815A0">
        <w:rPr>
          <w:lang w:val="en-GB"/>
        </w:rPr>
        <w:t>in particular the</w:t>
      </w:r>
      <w:proofErr w:type="gramEnd"/>
      <w:r w:rsidRPr="004815A0">
        <w:rPr>
          <w:lang w:val="en-GB"/>
        </w:rPr>
        <w:t xml:space="preserve"> climate data.</w:t>
      </w:r>
    </w:p>
    <w:p w14:paraId="4FF4E20D" w14:textId="77777777" w:rsidR="00B840DC" w:rsidRPr="004815A0" w:rsidRDefault="002164CF">
      <w:pPr>
        <w:rPr>
          <w:lang w:val="en-GB"/>
        </w:rPr>
      </w:pPr>
      <w:r w:rsidRPr="004815A0">
        <w:rPr>
          <w:lang w:val="en-GB"/>
        </w:rPr>
        <w:t xml:space="preserve">When focusing on agriculture, the shapely value estimated by the model are depicted on Figure 4. The economic variables largely contribute to the performance as shown in Figure 4. Looking at the top 10 largest absolute values of the average Shapely coefficients of climate variables displayed in Table 1, we observe that an increase in urbanization, the number of heat waves, an increase in the FAPAR dispersion, droughts (short-term and long-term, mild moderate and severe) associated with a heat wave and a low flow long-term average reduce agricultural production.  </w:t>
      </w:r>
    </w:p>
    <w:p w14:paraId="0090FB3F" w14:textId="77777777" w:rsidR="00B840DC" w:rsidRPr="004815A0" w:rsidRDefault="00B840DC">
      <w:pPr>
        <w:rPr>
          <w:lang w:val="en-GB"/>
        </w:rPr>
      </w:pPr>
    </w:p>
    <w:tbl>
      <w:tblPr>
        <w:tblStyle w:val="a1"/>
        <w:tblW w:w="9026" w:type="dxa"/>
        <w:jc w:val="center"/>
        <w:tblBorders>
          <w:top w:val="nil"/>
          <w:left w:val="nil"/>
          <w:bottom w:val="nil"/>
          <w:right w:val="nil"/>
          <w:insideH w:val="nil"/>
          <w:insideV w:val="nil"/>
        </w:tblBorders>
        <w:tblLayout w:type="fixed"/>
        <w:tblLook w:val="0400" w:firstRow="0" w:lastRow="0" w:firstColumn="0" w:lastColumn="0" w:noHBand="0" w:noVBand="1"/>
      </w:tblPr>
      <w:tblGrid>
        <w:gridCol w:w="5216"/>
        <w:gridCol w:w="3810"/>
      </w:tblGrid>
      <w:tr w:rsidR="00B840DC" w:rsidRPr="004815A0" w14:paraId="24847865" w14:textId="77777777">
        <w:trPr>
          <w:jc w:val="center"/>
        </w:trPr>
        <w:tc>
          <w:tcPr>
            <w:tcW w:w="5216" w:type="dxa"/>
          </w:tcPr>
          <w:p w14:paraId="5503504A" w14:textId="77777777" w:rsidR="00B840DC" w:rsidRPr="004815A0" w:rsidRDefault="002164CF">
            <w:pPr>
              <w:jc w:val="center"/>
              <w:rPr>
                <w:lang w:val="en-GB"/>
              </w:rPr>
            </w:pPr>
            <w:r w:rsidRPr="004815A0">
              <w:rPr>
                <w:lang w:val="en-GB"/>
              </w:rPr>
              <w:t>Figure 4. Top 10 Shapely values for the Agricultural sector</w:t>
            </w:r>
          </w:p>
        </w:tc>
        <w:tc>
          <w:tcPr>
            <w:tcW w:w="3810" w:type="dxa"/>
          </w:tcPr>
          <w:p w14:paraId="7B2C0DC2" w14:textId="77777777" w:rsidR="00B840DC" w:rsidRPr="004815A0" w:rsidRDefault="002164CF">
            <w:pPr>
              <w:jc w:val="center"/>
              <w:rPr>
                <w:lang w:val="en-GB"/>
              </w:rPr>
            </w:pPr>
            <w:r w:rsidRPr="004815A0">
              <w:rPr>
                <w:lang w:val="en-GB"/>
              </w:rPr>
              <w:t>Table 1. Top 10 Absolute Shapely values of climate variables for the Agricultural sector</w:t>
            </w:r>
          </w:p>
          <w:p w14:paraId="6418BFD7" w14:textId="77777777" w:rsidR="00B840DC" w:rsidRPr="004815A0" w:rsidRDefault="00B840DC">
            <w:pPr>
              <w:jc w:val="center"/>
              <w:rPr>
                <w:lang w:val="en-GB"/>
              </w:rPr>
            </w:pPr>
          </w:p>
        </w:tc>
      </w:tr>
      <w:tr w:rsidR="00B840DC" w14:paraId="3A6B94A8" w14:textId="77777777">
        <w:trPr>
          <w:jc w:val="center"/>
        </w:trPr>
        <w:tc>
          <w:tcPr>
            <w:tcW w:w="5216" w:type="dxa"/>
          </w:tcPr>
          <w:p w14:paraId="090B73A4" w14:textId="77777777" w:rsidR="00B840DC" w:rsidRDefault="002164CF">
            <w:r>
              <w:rPr>
                <w:noProof/>
              </w:rPr>
              <w:drawing>
                <wp:inline distT="0" distB="0" distL="0" distR="0" wp14:anchorId="76709C00" wp14:editId="591D9E57">
                  <wp:extent cx="3370952" cy="2519504"/>
                  <wp:effectExtent l="0" t="0" r="0" b="0"/>
                  <wp:docPr id="22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l="9285" b="-337"/>
                          <a:stretch>
                            <a:fillRect/>
                          </a:stretch>
                        </pic:blipFill>
                        <pic:spPr>
                          <a:xfrm>
                            <a:off x="0" y="0"/>
                            <a:ext cx="3370952" cy="2519504"/>
                          </a:xfrm>
                          <a:prstGeom prst="rect">
                            <a:avLst/>
                          </a:prstGeom>
                          <a:ln/>
                        </pic:spPr>
                      </pic:pic>
                    </a:graphicData>
                  </a:graphic>
                </wp:inline>
              </w:drawing>
            </w:r>
            <w:r>
              <w:rPr>
                <w:noProof/>
              </w:rPr>
              <mc:AlternateContent>
                <mc:Choice Requires="wps">
                  <w:drawing>
                    <wp:anchor distT="45720" distB="45720" distL="114300" distR="114300" simplePos="0" relativeHeight="251660288" behindDoc="0" locked="0" layoutInCell="1" hidden="0" allowOverlap="1" wp14:anchorId="605050A3" wp14:editId="04325FAD">
                      <wp:simplePos x="0" y="0"/>
                      <wp:positionH relativeFrom="column">
                        <wp:posOffset>127000</wp:posOffset>
                      </wp:positionH>
                      <wp:positionV relativeFrom="paragraph">
                        <wp:posOffset>287020</wp:posOffset>
                      </wp:positionV>
                      <wp:extent cx="1065815" cy="206594"/>
                      <wp:effectExtent l="0" t="0" r="0" b="0"/>
                      <wp:wrapNone/>
                      <wp:docPr id="220" name="Rectangle 220"/>
                      <wp:cNvGraphicFramePr/>
                      <a:graphic xmlns:a="http://schemas.openxmlformats.org/drawingml/2006/main">
                        <a:graphicData uri="http://schemas.microsoft.com/office/word/2010/wordprocessingShape">
                          <wps:wsp>
                            <wps:cNvSpPr/>
                            <wps:spPr>
                              <a:xfrm>
                                <a:off x="4817855" y="3681466"/>
                                <a:ext cx="1056290" cy="197069"/>
                              </a:xfrm>
                              <a:prstGeom prst="rect">
                                <a:avLst/>
                              </a:prstGeom>
                              <a:solidFill>
                                <a:srgbClr val="FFFFFF"/>
                              </a:solidFill>
                              <a:ln>
                                <a:noFill/>
                              </a:ln>
                            </wps:spPr>
                            <wps:txbx>
                              <w:txbxContent>
                                <w:p w14:paraId="429C495A" w14:textId="77777777" w:rsidR="00B840DC" w:rsidRDefault="002164CF">
                                  <w:pPr>
                                    <w:spacing w:line="275" w:lineRule="auto"/>
                                    <w:jc w:val="right"/>
                                    <w:textDirection w:val="btLr"/>
                                  </w:pPr>
                                  <w:r>
                                    <w:rPr>
                                      <w:color w:val="000000"/>
                                      <w:sz w:val="14"/>
                                    </w:rPr>
                                    <w:t>Employment per capita</w:t>
                                  </w:r>
                                </w:p>
                              </w:txbxContent>
                            </wps:txbx>
                            <wps:bodyPr spcFirstLastPara="1" wrap="square" lIns="91425" tIns="45700" rIns="91425" bIns="45700" anchor="t" anchorCtr="0">
                              <a:noAutofit/>
                            </wps:bodyPr>
                          </wps:wsp>
                        </a:graphicData>
                      </a:graphic>
                    </wp:anchor>
                  </w:drawing>
                </mc:Choice>
                <mc:Fallback>
                  <w:pict>
                    <v:rect w14:anchorId="605050A3" id="Rectangle 220" o:spid="_x0000_s1028" style="position:absolute;left:0;text-align:left;margin-left:10pt;margin-top:22.6pt;width:83.9pt;height:16.25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" stroked="f">
                      <v:textbox inset="2.53958mm,1.2694mm,2.53958mm,1.2694mm">
                        <w:txbxContent>
                          <w:p w14:paraId="429C495A" w14:textId="77777777" w:rsidR="00B840DC" w:rsidRDefault="002164CF">
                            <w:pPr>
                              <w:spacing w:line="275" w:lineRule="auto"/>
                              <w:jc w:val="right"/>
                              <w:textDirection w:val="btLr"/>
                            </w:pPr>
                            <w:r>
                              <w:rPr>
                                <w:color w:val="000000"/>
                                <w:sz w:val="14"/>
                              </w:rPr>
                              <w:t>Employment per capita</w:t>
                            </w:r>
                          </w:p>
                        </w:txbxContent>
                      </v:textbox>
                    </v:rect>
                  </w:pict>
                </mc:Fallback>
              </mc:AlternateContent>
            </w:r>
          </w:p>
        </w:tc>
        <w:tc>
          <w:tcPr>
            <w:tcW w:w="3810" w:type="dxa"/>
          </w:tcPr>
          <w:p w14:paraId="17600FDB" w14:textId="77777777" w:rsidR="00B840DC" w:rsidRDefault="00B840DC">
            <w:pPr>
              <w:pBdr>
                <w:top w:val="nil"/>
                <w:left w:val="nil"/>
                <w:bottom w:val="nil"/>
                <w:right w:val="nil"/>
                <w:between w:val="nil"/>
              </w:pBdr>
              <w:spacing w:before="0"/>
              <w:jc w:val="left"/>
            </w:pPr>
          </w:p>
          <w:tbl>
            <w:tblPr>
              <w:tblStyle w:val="a2"/>
              <w:tblW w:w="3584" w:type="dxa"/>
              <w:jc w:val="right"/>
              <w:tblLayout w:type="fixed"/>
              <w:tblLook w:val="0400" w:firstRow="0" w:lastRow="0" w:firstColumn="0" w:lastColumn="0" w:noHBand="0" w:noVBand="1"/>
            </w:tblPr>
            <w:tblGrid>
              <w:gridCol w:w="2141"/>
              <w:gridCol w:w="733"/>
              <w:gridCol w:w="710"/>
            </w:tblGrid>
            <w:tr w:rsidR="00B840DC" w14:paraId="133B9AFD" w14:textId="77777777">
              <w:trPr>
                <w:trHeight w:val="298"/>
                <w:jc w:val="right"/>
              </w:trPr>
              <w:tc>
                <w:tcPr>
                  <w:tcW w:w="2141" w:type="dxa"/>
                  <w:tcBorders>
                    <w:top w:val="single" w:sz="4" w:space="0" w:color="000000"/>
                    <w:left w:val="single" w:sz="4" w:space="0" w:color="000000"/>
                    <w:bottom w:val="single" w:sz="4" w:space="0" w:color="000000"/>
                    <w:right w:val="single" w:sz="4" w:space="0" w:color="000000"/>
                  </w:tcBorders>
                  <w:shd w:val="clear" w:color="auto" w:fill="FFF2CC"/>
                  <w:vAlign w:val="center"/>
                </w:tcPr>
                <w:p w14:paraId="5B4CFDA7" w14:textId="77777777" w:rsidR="00B840DC" w:rsidRDefault="002164CF">
                  <w:pPr>
                    <w:spacing w:line="240" w:lineRule="auto"/>
                    <w:jc w:val="center"/>
                    <w:rPr>
                      <w:b/>
                      <w:color w:val="000000"/>
                      <w:sz w:val="16"/>
                      <w:szCs w:val="16"/>
                    </w:rPr>
                  </w:pPr>
                  <w:proofErr w:type="spellStart"/>
                  <w:r>
                    <w:rPr>
                      <w:b/>
                      <w:color w:val="000000"/>
                      <w:sz w:val="16"/>
                      <w:szCs w:val="16"/>
                    </w:rPr>
                    <w:t>Features</w:t>
                  </w:r>
                  <w:proofErr w:type="spellEnd"/>
                </w:p>
              </w:tc>
              <w:tc>
                <w:tcPr>
                  <w:tcW w:w="733" w:type="dxa"/>
                  <w:tcBorders>
                    <w:top w:val="single" w:sz="4" w:space="0" w:color="000000"/>
                    <w:left w:val="nil"/>
                    <w:bottom w:val="single" w:sz="4" w:space="0" w:color="000000"/>
                    <w:right w:val="single" w:sz="4" w:space="0" w:color="000000"/>
                  </w:tcBorders>
                  <w:shd w:val="clear" w:color="auto" w:fill="FFF2CC"/>
                  <w:vAlign w:val="center"/>
                </w:tcPr>
                <w:p w14:paraId="33ABD93E" w14:textId="77777777" w:rsidR="00B840DC" w:rsidRDefault="002164CF">
                  <w:pPr>
                    <w:spacing w:line="240" w:lineRule="auto"/>
                    <w:jc w:val="center"/>
                    <w:rPr>
                      <w:b/>
                      <w:color w:val="000000"/>
                      <w:sz w:val="16"/>
                      <w:szCs w:val="16"/>
                    </w:rPr>
                  </w:pPr>
                  <w:proofErr w:type="spellStart"/>
                  <w:r>
                    <w:rPr>
                      <w:b/>
                      <w:color w:val="000000"/>
                      <w:sz w:val="16"/>
                      <w:szCs w:val="16"/>
                    </w:rPr>
                    <w:t>Shap</w:t>
                  </w:r>
                  <w:proofErr w:type="spellEnd"/>
                  <w:r>
                    <w:rPr>
                      <w:b/>
                      <w:color w:val="000000"/>
                      <w:sz w:val="16"/>
                      <w:szCs w:val="16"/>
                    </w:rPr>
                    <w:t xml:space="preserve"> Value</w:t>
                  </w:r>
                </w:p>
              </w:tc>
              <w:tc>
                <w:tcPr>
                  <w:tcW w:w="710" w:type="dxa"/>
                  <w:tcBorders>
                    <w:top w:val="single" w:sz="4" w:space="0" w:color="000000"/>
                    <w:left w:val="nil"/>
                    <w:bottom w:val="single" w:sz="4" w:space="0" w:color="000000"/>
                    <w:right w:val="single" w:sz="4" w:space="0" w:color="000000"/>
                  </w:tcBorders>
                  <w:shd w:val="clear" w:color="auto" w:fill="FFF2CC"/>
                  <w:vAlign w:val="center"/>
                </w:tcPr>
                <w:p w14:paraId="62B9F6BD" w14:textId="77777777" w:rsidR="00B840DC" w:rsidRDefault="002164CF">
                  <w:pPr>
                    <w:spacing w:line="240" w:lineRule="auto"/>
                    <w:jc w:val="center"/>
                    <w:rPr>
                      <w:b/>
                      <w:color w:val="000000"/>
                      <w:sz w:val="16"/>
                      <w:szCs w:val="16"/>
                    </w:rPr>
                  </w:pPr>
                  <w:r>
                    <w:rPr>
                      <w:b/>
                      <w:color w:val="000000"/>
                      <w:sz w:val="16"/>
                      <w:szCs w:val="16"/>
                    </w:rPr>
                    <w:t xml:space="preserve">Abs </w:t>
                  </w:r>
                  <w:proofErr w:type="spellStart"/>
                  <w:r>
                    <w:rPr>
                      <w:b/>
                      <w:color w:val="000000"/>
                      <w:sz w:val="16"/>
                      <w:szCs w:val="16"/>
                    </w:rPr>
                    <w:t>Shap</w:t>
                  </w:r>
                  <w:proofErr w:type="spellEnd"/>
                  <w:r>
                    <w:rPr>
                      <w:b/>
                      <w:color w:val="000000"/>
                      <w:sz w:val="16"/>
                      <w:szCs w:val="16"/>
                    </w:rPr>
                    <w:t xml:space="preserve"> Value</w:t>
                  </w:r>
                </w:p>
              </w:tc>
            </w:tr>
            <w:tr w:rsidR="00B840DC" w14:paraId="0AE5D653" w14:textId="77777777">
              <w:trPr>
                <w:trHeight w:val="298"/>
                <w:jc w:val="right"/>
              </w:trPr>
              <w:tc>
                <w:tcPr>
                  <w:tcW w:w="2141" w:type="dxa"/>
                  <w:tcBorders>
                    <w:top w:val="nil"/>
                    <w:left w:val="single" w:sz="4" w:space="0" w:color="000000"/>
                    <w:bottom w:val="single" w:sz="4" w:space="0" w:color="000000"/>
                    <w:right w:val="single" w:sz="4" w:space="0" w:color="000000"/>
                  </w:tcBorders>
                  <w:shd w:val="clear" w:color="auto" w:fill="auto"/>
                  <w:vAlign w:val="center"/>
                </w:tcPr>
                <w:p w14:paraId="70B585B8" w14:textId="77777777" w:rsidR="00B840DC" w:rsidRDefault="002164CF">
                  <w:pPr>
                    <w:jc w:val="center"/>
                    <w:rPr>
                      <w:color w:val="000000"/>
                      <w:sz w:val="14"/>
                      <w:szCs w:val="14"/>
                    </w:rPr>
                  </w:pPr>
                  <w:proofErr w:type="spellStart"/>
                  <w:r>
                    <w:rPr>
                      <w:color w:val="000000"/>
                      <w:sz w:val="14"/>
                      <w:szCs w:val="14"/>
                    </w:rPr>
                    <w:t>Urbanization</w:t>
                  </w:r>
                  <w:proofErr w:type="spellEnd"/>
                  <w:r>
                    <w:rPr>
                      <w:color w:val="000000"/>
                      <w:sz w:val="14"/>
                      <w:szCs w:val="14"/>
                    </w:rPr>
                    <w:t xml:space="preserve"> index</w:t>
                  </w:r>
                </w:p>
              </w:tc>
              <w:tc>
                <w:tcPr>
                  <w:tcW w:w="733" w:type="dxa"/>
                  <w:tcBorders>
                    <w:top w:val="nil"/>
                    <w:left w:val="nil"/>
                    <w:bottom w:val="single" w:sz="4" w:space="0" w:color="000000"/>
                    <w:right w:val="single" w:sz="4" w:space="0" w:color="000000"/>
                  </w:tcBorders>
                  <w:shd w:val="clear" w:color="auto" w:fill="auto"/>
                  <w:vAlign w:val="center"/>
                </w:tcPr>
                <w:p w14:paraId="7ED7CB51" w14:textId="77777777" w:rsidR="00B840DC" w:rsidRDefault="002164CF">
                  <w:pPr>
                    <w:jc w:val="center"/>
                    <w:rPr>
                      <w:color w:val="000000"/>
                      <w:sz w:val="14"/>
                      <w:szCs w:val="14"/>
                    </w:rPr>
                  </w:pPr>
                  <w:r>
                    <w:rPr>
                      <w:color w:val="000000"/>
                      <w:sz w:val="14"/>
                      <w:szCs w:val="14"/>
                    </w:rPr>
                    <w:t>-5.11</w:t>
                  </w:r>
                </w:p>
              </w:tc>
              <w:tc>
                <w:tcPr>
                  <w:tcW w:w="710" w:type="dxa"/>
                  <w:tcBorders>
                    <w:top w:val="nil"/>
                    <w:left w:val="nil"/>
                    <w:bottom w:val="single" w:sz="4" w:space="0" w:color="000000"/>
                    <w:right w:val="single" w:sz="4" w:space="0" w:color="000000"/>
                  </w:tcBorders>
                  <w:shd w:val="clear" w:color="auto" w:fill="auto"/>
                  <w:vAlign w:val="center"/>
                </w:tcPr>
                <w:p w14:paraId="379FDCC9" w14:textId="77777777" w:rsidR="00B840DC" w:rsidRDefault="002164CF">
                  <w:pPr>
                    <w:jc w:val="center"/>
                    <w:rPr>
                      <w:color w:val="000000"/>
                      <w:sz w:val="14"/>
                      <w:szCs w:val="14"/>
                    </w:rPr>
                  </w:pPr>
                  <w:r>
                    <w:rPr>
                      <w:color w:val="000000"/>
                      <w:sz w:val="14"/>
                      <w:szCs w:val="14"/>
                    </w:rPr>
                    <w:t>5.11</w:t>
                  </w:r>
                </w:p>
              </w:tc>
            </w:tr>
            <w:tr w:rsidR="00B840DC" w14:paraId="28B574B9" w14:textId="77777777">
              <w:trPr>
                <w:trHeight w:val="298"/>
                <w:jc w:val="right"/>
              </w:trPr>
              <w:tc>
                <w:tcPr>
                  <w:tcW w:w="2141" w:type="dxa"/>
                  <w:tcBorders>
                    <w:top w:val="nil"/>
                    <w:left w:val="single" w:sz="4" w:space="0" w:color="000000"/>
                    <w:bottom w:val="single" w:sz="4" w:space="0" w:color="000000"/>
                    <w:right w:val="single" w:sz="4" w:space="0" w:color="000000"/>
                  </w:tcBorders>
                  <w:shd w:val="clear" w:color="auto" w:fill="auto"/>
                  <w:vAlign w:val="center"/>
                </w:tcPr>
                <w:p w14:paraId="2E5BF6AF" w14:textId="77777777" w:rsidR="00B840DC" w:rsidRDefault="002164CF">
                  <w:pPr>
                    <w:jc w:val="center"/>
                    <w:rPr>
                      <w:color w:val="000000"/>
                      <w:sz w:val="14"/>
                      <w:szCs w:val="14"/>
                    </w:rPr>
                  </w:pPr>
                  <w:r>
                    <w:rPr>
                      <w:color w:val="000000"/>
                      <w:sz w:val="14"/>
                      <w:szCs w:val="14"/>
                    </w:rPr>
                    <w:t>Count of Heat Waves</w:t>
                  </w:r>
                </w:p>
              </w:tc>
              <w:tc>
                <w:tcPr>
                  <w:tcW w:w="733" w:type="dxa"/>
                  <w:tcBorders>
                    <w:top w:val="nil"/>
                    <w:left w:val="nil"/>
                    <w:bottom w:val="single" w:sz="4" w:space="0" w:color="000000"/>
                    <w:right w:val="single" w:sz="4" w:space="0" w:color="000000"/>
                  </w:tcBorders>
                  <w:shd w:val="clear" w:color="auto" w:fill="auto"/>
                  <w:vAlign w:val="center"/>
                </w:tcPr>
                <w:p w14:paraId="19136AD2" w14:textId="77777777" w:rsidR="00B840DC" w:rsidRDefault="002164CF">
                  <w:pPr>
                    <w:jc w:val="center"/>
                    <w:rPr>
                      <w:color w:val="000000"/>
                      <w:sz w:val="14"/>
                      <w:szCs w:val="14"/>
                    </w:rPr>
                  </w:pPr>
                  <w:r>
                    <w:rPr>
                      <w:color w:val="000000"/>
                      <w:sz w:val="14"/>
                      <w:szCs w:val="14"/>
                    </w:rPr>
                    <w:t>-5.1</w:t>
                  </w:r>
                </w:p>
              </w:tc>
              <w:tc>
                <w:tcPr>
                  <w:tcW w:w="710" w:type="dxa"/>
                  <w:tcBorders>
                    <w:top w:val="nil"/>
                    <w:left w:val="nil"/>
                    <w:bottom w:val="single" w:sz="4" w:space="0" w:color="000000"/>
                    <w:right w:val="single" w:sz="4" w:space="0" w:color="000000"/>
                  </w:tcBorders>
                  <w:shd w:val="clear" w:color="auto" w:fill="auto"/>
                  <w:vAlign w:val="center"/>
                </w:tcPr>
                <w:p w14:paraId="18F5CC90" w14:textId="77777777" w:rsidR="00B840DC" w:rsidRDefault="002164CF">
                  <w:pPr>
                    <w:jc w:val="center"/>
                    <w:rPr>
                      <w:color w:val="000000"/>
                      <w:sz w:val="14"/>
                      <w:szCs w:val="14"/>
                    </w:rPr>
                  </w:pPr>
                  <w:r>
                    <w:rPr>
                      <w:color w:val="000000"/>
                      <w:sz w:val="14"/>
                      <w:szCs w:val="14"/>
                    </w:rPr>
                    <w:t>5.1</w:t>
                  </w:r>
                </w:p>
              </w:tc>
            </w:tr>
            <w:tr w:rsidR="00B840DC" w14:paraId="7FCF2E27" w14:textId="77777777">
              <w:trPr>
                <w:trHeight w:val="298"/>
                <w:jc w:val="right"/>
              </w:trPr>
              <w:tc>
                <w:tcPr>
                  <w:tcW w:w="2141" w:type="dxa"/>
                  <w:tcBorders>
                    <w:top w:val="nil"/>
                    <w:left w:val="single" w:sz="4" w:space="0" w:color="000000"/>
                    <w:bottom w:val="single" w:sz="4" w:space="0" w:color="000000"/>
                    <w:right w:val="single" w:sz="4" w:space="0" w:color="000000"/>
                  </w:tcBorders>
                  <w:shd w:val="clear" w:color="auto" w:fill="auto"/>
                  <w:vAlign w:val="center"/>
                </w:tcPr>
                <w:p w14:paraId="544BB0D3" w14:textId="77777777" w:rsidR="00B840DC" w:rsidRDefault="002164CF">
                  <w:pPr>
                    <w:jc w:val="center"/>
                    <w:rPr>
                      <w:color w:val="000000"/>
                      <w:sz w:val="14"/>
                      <w:szCs w:val="14"/>
                    </w:rPr>
                  </w:pPr>
                  <w:r>
                    <w:rPr>
                      <w:color w:val="000000"/>
                      <w:sz w:val="14"/>
                      <w:szCs w:val="14"/>
                    </w:rPr>
                    <w:t xml:space="preserve">FAFAR standard </w:t>
                  </w:r>
                  <w:proofErr w:type="spellStart"/>
                  <w:r>
                    <w:rPr>
                      <w:color w:val="000000"/>
                      <w:sz w:val="14"/>
                      <w:szCs w:val="14"/>
                    </w:rPr>
                    <w:t>deviation</w:t>
                  </w:r>
                  <w:proofErr w:type="spellEnd"/>
                </w:p>
              </w:tc>
              <w:tc>
                <w:tcPr>
                  <w:tcW w:w="733" w:type="dxa"/>
                  <w:tcBorders>
                    <w:top w:val="nil"/>
                    <w:left w:val="nil"/>
                    <w:bottom w:val="single" w:sz="4" w:space="0" w:color="000000"/>
                    <w:right w:val="single" w:sz="4" w:space="0" w:color="000000"/>
                  </w:tcBorders>
                  <w:shd w:val="clear" w:color="auto" w:fill="auto"/>
                  <w:vAlign w:val="center"/>
                </w:tcPr>
                <w:p w14:paraId="76CB83C3" w14:textId="77777777" w:rsidR="00B840DC" w:rsidRDefault="002164CF">
                  <w:pPr>
                    <w:jc w:val="center"/>
                    <w:rPr>
                      <w:color w:val="000000"/>
                      <w:sz w:val="14"/>
                      <w:szCs w:val="14"/>
                    </w:rPr>
                  </w:pPr>
                  <w:r>
                    <w:rPr>
                      <w:color w:val="000000"/>
                      <w:sz w:val="14"/>
                      <w:szCs w:val="14"/>
                    </w:rPr>
                    <w:t>-3.41</w:t>
                  </w:r>
                </w:p>
              </w:tc>
              <w:tc>
                <w:tcPr>
                  <w:tcW w:w="710" w:type="dxa"/>
                  <w:tcBorders>
                    <w:top w:val="nil"/>
                    <w:left w:val="nil"/>
                    <w:bottom w:val="single" w:sz="4" w:space="0" w:color="000000"/>
                    <w:right w:val="single" w:sz="4" w:space="0" w:color="000000"/>
                  </w:tcBorders>
                  <w:shd w:val="clear" w:color="auto" w:fill="auto"/>
                  <w:vAlign w:val="center"/>
                </w:tcPr>
                <w:p w14:paraId="788ACC5E" w14:textId="77777777" w:rsidR="00B840DC" w:rsidRDefault="002164CF">
                  <w:pPr>
                    <w:jc w:val="center"/>
                    <w:rPr>
                      <w:color w:val="000000"/>
                      <w:sz w:val="14"/>
                      <w:szCs w:val="14"/>
                    </w:rPr>
                  </w:pPr>
                  <w:r>
                    <w:rPr>
                      <w:color w:val="000000"/>
                      <w:sz w:val="14"/>
                      <w:szCs w:val="14"/>
                    </w:rPr>
                    <w:t>3.41</w:t>
                  </w:r>
                </w:p>
              </w:tc>
            </w:tr>
            <w:tr w:rsidR="00B840DC" w14:paraId="3C623D9B" w14:textId="77777777">
              <w:trPr>
                <w:trHeight w:val="298"/>
                <w:jc w:val="right"/>
              </w:trPr>
              <w:tc>
                <w:tcPr>
                  <w:tcW w:w="2141" w:type="dxa"/>
                  <w:tcBorders>
                    <w:top w:val="nil"/>
                    <w:left w:val="single" w:sz="4" w:space="0" w:color="000000"/>
                    <w:bottom w:val="single" w:sz="4" w:space="0" w:color="000000"/>
                    <w:right w:val="single" w:sz="4" w:space="0" w:color="000000"/>
                  </w:tcBorders>
                  <w:shd w:val="clear" w:color="auto" w:fill="auto"/>
                  <w:vAlign w:val="center"/>
                </w:tcPr>
                <w:p w14:paraId="4A2A7FAF" w14:textId="77777777" w:rsidR="00B840DC" w:rsidRPr="004815A0" w:rsidRDefault="002164CF">
                  <w:pPr>
                    <w:jc w:val="center"/>
                    <w:rPr>
                      <w:color w:val="000000"/>
                      <w:sz w:val="14"/>
                      <w:szCs w:val="14"/>
                      <w:lang w:val="en-GB"/>
                    </w:rPr>
                  </w:pPr>
                  <w:r w:rsidRPr="004815A0">
                    <w:rPr>
                      <w:color w:val="000000"/>
                      <w:sz w:val="14"/>
                      <w:szCs w:val="14"/>
                      <w:lang w:val="en-GB"/>
                    </w:rPr>
                    <w:t>Heat Mild Drought L-T</w:t>
                  </w:r>
                </w:p>
              </w:tc>
              <w:tc>
                <w:tcPr>
                  <w:tcW w:w="733" w:type="dxa"/>
                  <w:tcBorders>
                    <w:top w:val="nil"/>
                    <w:left w:val="nil"/>
                    <w:bottom w:val="single" w:sz="4" w:space="0" w:color="000000"/>
                    <w:right w:val="single" w:sz="4" w:space="0" w:color="000000"/>
                  </w:tcBorders>
                  <w:shd w:val="clear" w:color="auto" w:fill="auto"/>
                  <w:vAlign w:val="center"/>
                </w:tcPr>
                <w:p w14:paraId="5B713D9B" w14:textId="77777777" w:rsidR="00B840DC" w:rsidRDefault="002164CF">
                  <w:pPr>
                    <w:jc w:val="center"/>
                    <w:rPr>
                      <w:color w:val="000000"/>
                      <w:sz w:val="14"/>
                      <w:szCs w:val="14"/>
                    </w:rPr>
                  </w:pPr>
                  <w:r>
                    <w:rPr>
                      <w:color w:val="000000"/>
                      <w:sz w:val="14"/>
                      <w:szCs w:val="14"/>
                    </w:rPr>
                    <w:t>-3.24</w:t>
                  </w:r>
                </w:p>
              </w:tc>
              <w:tc>
                <w:tcPr>
                  <w:tcW w:w="710" w:type="dxa"/>
                  <w:tcBorders>
                    <w:top w:val="nil"/>
                    <w:left w:val="nil"/>
                    <w:bottom w:val="single" w:sz="4" w:space="0" w:color="000000"/>
                    <w:right w:val="single" w:sz="4" w:space="0" w:color="000000"/>
                  </w:tcBorders>
                  <w:shd w:val="clear" w:color="auto" w:fill="auto"/>
                  <w:vAlign w:val="center"/>
                </w:tcPr>
                <w:p w14:paraId="225545C4" w14:textId="77777777" w:rsidR="00B840DC" w:rsidRDefault="002164CF">
                  <w:pPr>
                    <w:jc w:val="center"/>
                    <w:rPr>
                      <w:color w:val="000000"/>
                      <w:sz w:val="14"/>
                      <w:szCs w:val="14"/>
                    </w:rPr>
                  </w:pPr>
                  <w:r>
                    <w:rPr>
                      <w:color w:val="000000"/>
                      <w:sz w:val="14"/>
                      <w:szCs w:val="14"/>
                    </w:rPr>
                    <w:t>3.24</w:t>
                  </w:r>
                </w:p>
              </w:tc>
            </w:tr>
            <w:tr w:rsidR="00B840DC" w14:paraId="7AF1876C" w14:textId="77777777">
              <w:trPr>
                <w:trHeight w:val="298"/>
                <w:jc w:val="right"/>
              </w:trPr>
              <w:tc>
                <w:tcPr>
                  <w:tcW w:w="2141" w:type="dxa"/>
                  <w:tcBorders>
                    <w:top w:val="nil"/>
                    <w:left w:val="single" w:sz="4" w:space="0" w:color="000000"/>
                    <w:bottom w:val="single" w:sz="4" w:space="0" w:color="000000"/>
                    <w:right w:val="single" w:sz="4" w:space="0" w:color="000000"/>
                  </w:tcBorders>
                  <w:shd w:val="clear" w:color="auto" w:fill="auto"/>
                  <w:vAlign w:val="center"/>
                </w:tcPr>
                <w:p w14:paraId="1FE22F23" w14:textId="77777777" w:rsidR="00B840DC" w:rsidRPr="004815A0" w:rsidRDefault="002164CF">
                  <w:pPr>
                    <w:jc w:val="center"/>
                    <w:rPr>
                      <w:color w:val="000000"/>
                      <w:sz w:val="14"/>
                      <w:szCs w:val="14"/>
                      <w:lang w:val="en-GB"/>
                    </w:rPr>
                  </w:pPr>
                  <w:r w:rsidRPr="004815A0">
                    <w:rPr>
                      <w:color w:val="000000"/>
                      <w:sz w:val="14"/>
                      <w:szCs w:val="14"/>
                      <w:lang w:val="en-GB"/>
                    </w:rPr>
                    <w:t>Heat Moderate Drought L-T</w:t>
                  </w:r>
                </w:p>
              </w:tc>
              <w:tc>
                <w:tcPr>
                  <w:tcW w:w="733" w:type="dxa"/>
                  <w:tcBorders>
                    <w:top w:val="nil"/>
                    <w:left w:val="nil"/>
                    <w:bottom w:val="single" w:sz="4" w:space="0" w:color="000000"/>
                    <w:right w:val="single" w:sz="4" w:space="0" w:color="000000"/>
                  </w:tcBorders>
                  <w:shd w:val="clear" w:color="auto" w:fill="auto"/>
                  <w:vAlign w:val="center"/>
                </w:tcPr>
                <w:p w14:paraId="433724A9" w14:textId="77777777" w:rsidR="00B840DC" w:rsidRDefault="002164CF">
                  <w:pPr>
                    <w:jc w:val="center"/>
                    <w:rPr>
                      <w:color w:val="000000"/>
                      <w:sz w:val="14"/>
                      <w:szCs w:val="14"/>
                    </w:rPr>
                  </w:pPr>
                  <w:r>
                    <w:rPr>
                      <w:color w:val="000000"/>
                      <w:sz w:val="14"/>
                      <w:szCs w:val="14"/>
                    </w:rPr>
                    <w:t>-3.1</w:t>
                  </w:r>
                </w:p>
              </w:tc>
              <w:tc>
                <w:tcPr>
                  <w:tcW w:w="710" w:type="dxa"/>
                  <w:tcBorders>
                    <w:top w:val="nil"/>
                    <w:left w:val="nil"/>
                    <w:bottom w:val="single" w:sz="4" w:space="0" w:color="000000"/>
                    <w:right w:val="single" w:sz="4" w:space="0" w:color="000000"/>
                  </w:tcBorders>
                  <w:shd w:val="clear" w:color="auto" w:fill="auto"/>
                  <w:vAlign w:val="center"/>
                </w:tcPr>
                <w:p w14:paraId="35864428" w14:textId="77777777" w:rsidR="00B840DC" w:rsidRDefault="002164CF">
                  <w:pPr>
                    <w:jc w:val="center"/>
                    <w:rPr>
                      <w:color w:val="000000"/>
                      <w:sz w:val="14"/>
                      <w:szCs w:val="14"/>
                    </w:rPr>
                  </w:pPr>
                  <w:r>
                    <w:rPr>
                      <w:color w:val="000000"/>
                      <w:sz w:val="14"/>
                      <w:szCs w:val="14"/>
                    </w:rPr>
                    <w:t>3.1</w:t>
                  </w:r>
                </w:p>
              </w:tc>
            </w:tr>
            <w:tr w:rsidR="00B840DC" w14:paraId="1CEA9AE8" w14:textId="77777777">
              <w:trPr>
                <w:trHeight w:val="298"/>
                <w:jc w:val="right"/>
              </w:trPr>
              <w:tc>
                <w:tcPr>
                  <w:tcW w:w="2141" w:type="dxa"/>
                  <w:tcBorders>
                    <w:top w:val="nil"/>
                    <w:left w:val="single" w:sz="4" w:space="0" w:color="000000"/>
                    <w:bottom w:val="single" w:sz="4" w:space="0" w:color="000000"/>
                    <w:right w:val="single" w:sz="4" w:space="0" w:color="000000"/>
                  </w:tcBorders>
                  <w:shd w:val="clear" w:color="auto" w:fill="auto"/>
                  <w:vAlign w:val="center"/>
                </w:tcPr>
                <w:p w14:paraId="1EE532B9" w14:textId="77777777" w:rsidR="00B840DC" w:rsidRPr="004815A0" w:rsidRDefault="002164CF">
                  <w:pPr>
                    <w:jc w:val="center"/>
                    <w:rPr>
                      <w:color w:val="000000"/>
                      <w:sz w:val="14"/>
                      <w:szCs w:val="14"/>
                      <w:lang w:val="en-GB"/>
                    </w:rPr>
                  </w:pPr>
                  <w:r w:rsidRPr="004815A0">
                    <w:rPr>
                      <w:color w:val="000000"/>
                      <w:sz w:val="14"/>
                      <w:szCs w:val="14"/>
                      <w:lang w:val="en-GB"/>
                    </w:rPr>
                    <w:t>Heat Moderate Drought S-T</w:t>
                  </w:r>
                </w:p>
              </w:tc>
              <w:tc>
                <w:tcPr>
                  <w:tcW w:w="733" w:type="dxa"/>
                  <w:tcBorders>
                    <w:top w:val="nil"/>
                    <w:left w:val="nil"/>
                    <w:bottom w:val="single" w:sz="4" w:space="0" w:color="000000"/>
                    <w:right w:val="single" w:sz="4" w:space="0" w:color="000000"/>
                  </w:tcBorders>
                  <w:shd w:val="clear" w:color="auto" w:fill="auto"/>
                  <w:vAlign w:val="center"/>
                </w:tcPr>
                <w:p w14:paraId="59D799AE" w14:textId="77777777" w:rsidR="00B840DC" w:rsidRDefault="002164CF">
                  <w:pPr>
                    <w:jc w:val="center"/>
                    <w:rPr>
                      <w:color w:val="000000"/>
                      <w:sz w:val="14"/>
                      <w:szCs w:val="14"/>
                    </w:rPr>
                  </w:pPr>
                  <w:r>
                    <w:rPr>
                      <w:color w:val="000000"/>
                      <w:sz w:val="14"/>
                      <w:szCs w:val="14"/>
                    </w:rPr>
                    <w:t>-2.82</w:t>
                  </w:r>
                </w:p>
              </w:tc>
              <w:tc>
                <w:tcPr>
                  <w:tcW w:w="710" w:type="dxa"/>
                  <w:tcBorders>
                    <w:top w:val="nil"/>
                    <w:left w:val="nil"/>
                    <w:bottom w:val="single" w:sz="4" w:space="0" w:color="000000"/>
                    <w:right w:val="single" w:sz="4" w:space="0" w:color="000000"/>
                  </w:tcBorders>
                  <w:shd w:val="clear" w:color="auto" w:fill="auto"/>
                  <w:vAlign w:val="center"/>
                </w:tcPr>
                <w:p w14:paraId="3F2F8413" w14:textId="77777777" w:rsidR="00B840DC" w:rsidRDefault="002164CF">
                  <w:pPr>
                    <w:jc w:val="center"/>
                    <w:rPr>
                      <w:color w:val="000000"/>
                      <w:sz w:val="14"/>
                      <w:szCs w:val="14"/>
                    </w:rPr>
                  </w:pPr>
                  <w:r>
                    <w:rPr>
                      <w:color w:val="000000"/>
                      <w:sz w:val="14"/>
                      <w:szCs w:val="14"/>
                    </w:rPr>
                    <w:t>2.82</w:t>
                  </w:r>
                </w:p>
              </w:tc>
            </w:tr>
            <w:tr w:rsidR="00B840DC" w14:paraId="147AD563" w14:textId="77777777">
              <w:trPr>
                <w:trHeight w:val="298"/>
                <w:jc w:val="right"/>
              </w:trPr>
              <w:tc>
                <w:tcPr>
                  <w:tcW w:w="2141" w:type="dxa"/>
                  <w:tcBorders>
                    <w:top w:val="nil"/>
                    <w:left w:val="single" w:sz="4" w:space="0" w:color="000000"/>
                    <w:bottom w:val="single" w:sz="4" w:space="0" w:color="000000"/>
                    <w:right w:val="single" w:sz="4" w:space="0" w:color="000000"/>
                  </w:tcBorders>
                  <w:shd w:val="clear" w:color="auto" w:fill="auto"/>
                  <w:vAlign w:val="center"/>
                </w:tcPr>
                <w:p w14:paraId="6F456D20" w14:textId="77777777" w:rsidR="00B840DC" w:rsidRPr="004815A0" w:rsidRDefault="002164CF">
                  <w:pPr>
                    <w:jc w:val="center"/>
                    <w:rPr>
                      <w:color w:val="000000"/>
                      <w:sz w:val="14"/>
                      <w:szCs w:val="14"/>
                      <w:lang w:val="en-GB"/>
                    </w:rPr>
                  </w:pPr>
                  <w:r w:rsidRPr="004815A0">
                    <w:rPr>
                      <w:color w:val="000000"/>
                      <w:sz w:val="14"/>
                      <w:szCs w:val="14"/>
                      <w:lang w:val="en-GB"/>
                    </w:rPr>
                    <w:t>Heat Mild Drought S-T</w:t>
                  </w:r>
                </w:p>
              </w:tc>
              <w:tc>
                <w:tcPr>
                  <w:tcW w:w="733" w:type="dxa"/>
                  <w:tcBorders>
                    <w:top w:val="nil"/>
                    <w:left w:val="nil"/>
                    <w:bottom w:val="single" w:sz="4" w:space="0" w:color="000000"/>
                    <w:right w:val="single" w:sz="4" w:space="0" w:color="000000"/>
                  </w:tcBorders>
                  <w:shd w:val="clear" w:color="auto" w:fill="auto"/>
                  <w:vAlign w:val="center"/>
                </w:tcPr>
                <w:p w14:paraId="55786354" w14:textId="77777777" w:rsidR="00B840DC" w:rsidRDefault="002164CF">
                  <w:pPr>
                    <w:jc w:val="center"/>
                    <w:rPr>
                      <w:color w:val="000000"/>
                      <w:sz w:val="14"/>
                      <w:szCs w:val="14"/>
                    </w:rPr>
                  </w:pPr>
                  <w:r>
                    <w:rPr>
                      <w:color w:val="000000"/>
                      <w:sz w:val="14"/>
                      <w:szCs w:val="14"/>
                    </w:rPr>
                    <w:t>-2.81</w:t>
                  </w:r>
                </w:p>
              </w:tc>
              <w:tc>
                <w:tcPr>
                  <w:tcW w:w="710" w:type="dxa"/>
                  <w:tcBorders>
                    <w:top w:val="nil"/>
                    <w:left w:val="nil"/>
                    <w:bottom w:val="single" w:sz="4" w:space="0" w:color="000000"/>
                    <w:right w:val="single" w:sz="4" w:space="0" w:color="000000"/>
                  </w:tcBorders>
                  <w:shd w:val="clear" w:color="auto" w:fill="auto"/>
                  <w:vAlign w:val="center"/>
                </w:tcPr>
                <w:p w14:paraId="06876D5A" w14:textId="77777777" w:rsidR="00B840DC" w:rsidRDefault="002164CF">
                  <w:pPr>
                    <w:jc w:val="center"/>
                    <w:rPr>
                      <w:color w:val="000000"/>
                      <w:sz w:val="14"/>
                      <w:szCs w:val="14"/>
                    </w:rPr>
                  </w:pPr>
                  <w:r>
                    <w:rPr>
                      <w:color w:val="000000"/>
                      <w:sz w:val="14"/>
                      <w:szCs w:val="14"/>
                    </w:rPr>
                    <w:t>2.81</w:t>
                  </w:r>
                </w:p>
              </w:tc>
            </w:tr>
            <w:tr w:rsidR="00B840DC" w14:paraId="536C60C4" w14:textId="77777777">
              <w:trPr>
                <w:trHeight w:val="298"/>
                <w:jc w:val="right"/>
              </w:trPr>
              <w:tc>
                <w:tcPr>
                  <w:tcW w:w="2141" w:type="dxa"/>
                  <w:tcBorders>
                    <w:top w:val="nil"/>
                    <w:left w:val="single" w:sz="4" w:space="0" w:color="000000"/>
                    <w:bottom w:val="single" w:sz="4" w:space="0" w:color="000000"/>
                    <w:right w:val="single" w:sz="4" w:space="0" w:color="000000"/>
                  </w:tcBorders>
                  <w:shd w:val="clear" w:color="auto" w:fill="auto"/>
                  <w:vAlign w:val="center"/>
                </w:tcPr>
                <w:p w14:paraId="4758F993" w14:textId="77777777" w:rsidR="00B840DC" w:rsidRPr="004815A0" w:rsidRDefault="002164CF">
                  <w:pPr>
                    <w:jc w:val="center"/>
                    <w:rPr>
                      <w:color w:val="000000"/>
                      <w:sz w:val="14"/>
                      <w:szCs w:val="14"/>
                      <w:lang w:val="en-GB"/>
                    </w:rPr>
                  </w:pPr>
                  <w:r w:rsidRPr="004815A0">
                    <w:rPr>
                      <w:color w:val="000000"/>
                      <w:sz w:val="14"/>
                      <w:szCs w:val="14"/>
                      <w:lang w:val="en-GB"/>
                    </w:rPr>
                    <w:t>Low Flow L-T Average</w:t>
                  </w:r>
                </w:p>
              </w:tc>
              <w:tc>
                <w:tcPr>
                  <w:tcW w:w="733" w:type="dxa"/>
                  <w:tcBorders>
                    <w:top w:val="nil"/>
                    <w:left w:val="nil"/>
                    <w:bottom w:val="single" w:sz="4" w:space="0" w:color="000000"/>
                    <w:right w:val="single" w:sz="4" w:space="0" w:color="000000"/>
                  </w:tcBorders>
                  <w:shd w:val="clear" w:color="auto" w:fill="auto"/>
                  <w:vAlign w:val="center"/>
                </w:tcPr>
                <w:p w14:paraId="3B6B6899" w14:textId="77777777" w:rsidR="00B840DC" w:rsidRDefault="002164CF">
                  <w:pPr>
                    <w:jc w:val="center"/>
                    <w:rPr>
                      <w:color w:val="000000"/>
                      <w:sz w:val="14"/>
                      <w:szCs w:val="14"/>
                    </w:rPr>
                  </w:pPr>
                  <w:r>
                    <w:rPr>
                      <w:color w:val="000000"/>
                      <w:sz w:val="14"/>
                      <w:szCs w:val="14"/>
                    </w:rPr>
                    <w:t>-2.69</w:t>
                  </w:r>
                </w:p>
              </w:tc>
              <w:tc>
                <w:tcPr>
                  <w:tcW w:w="710" w:type="dxa"/>
                  <w:tcBorders>
                    <w:top w:val="nil"/>
                    <w:left w:val="nil"/>
                    <w:bottom w:val="single" w:sz="4" w:space="0" w:color="000000"/>
                    <w:right w:val="single" w:sz="4" w:space="0" w:color="000000"/>
                  </w:tcBorders>
                  <w:shd w:val="clear" w:color="auto" w:fill="auto"/>
                  <w:vAlign w:val="center"/>
                </w:tcPr>
                <w:p w14:paraId="22989A83" w14:textId="77777777" w:rsidR="00B840DC" w:rsidRDefault="002164CF">
                  <w:pPr>
                    <w:jc w:val="center"/>
                    <w:rPr>
                      <w:color w:val="000000"/>
                      <w:sz w:val="14"/>
                      <w:szCs w:val="14"/>
                    </w:rPr>
                  </w:pPr>
                  <w:r>
                    <w:rPr>
                      <w:color w:val="000000"/>
                      <w:sz w:val="14"/>
                      <w:szCs w:val="14"/>
                    </w:rPr>
                    <w:t>2.69</w:t>
                  </w:r>
                </w:p>
              </w:tc>
            </w:tr>
            <w:tr w:rsidR="00B840DC" w14:paraId="3072BA25" w14:textId="77777777">
              <w:trPr>
                <w:trHeight w:val="289"/>
                <w:jc w:val="right"/>
              </w:trPr>
              <w:tc>
                <w:tcPr>
                  <w:tcW w:w="2141" w:type="dxa"/>
                  <w:tcBorders>
                    <w:top w:val="nil"/>
                    <w:left w:val="single" w:sz="4" w:space="0" w:color="000000"/>
                    <w:bottom w:val="single" w:sz="4" w:space="0" w:color="000000"/>
                    <w:right w:val="single" w:sz="4" w:space="0" w:color="000000"/>
                  </w:tcBorders>
                  <w:shd w:val="clear" w:color="auto" w:fill="auto"/>
                  <w:vAlign w:val="center"/>
                </w:tcPr>
                <w:p w14:paraId="7FC91C7C" w14:textId="77777777" w:rsidR="00B840DC" w:rsidRPr="004815A0" w:rsidRDefault="002164CF">
                  <w:pPr>
                    <w:jc w:val="center"/>
                    <w:rPr>
                      <w:color w:val="000000"/>
                      <w:sz w:val="14"/>
                      <w:szCs w:val="14"/>
                      <w:lang w:val="en-GB"/>
                    </w:rPr>
                  </w:pPr>
                  <w:r w:rsidRPr="004815A0">
                    <w:rPr>
                      <w:color w:val="000000"/>
                      <w:sz w:val="14"/>
                      <w:szCs w:val="14"/>
                      <w:lang w:val="en-GB"/>
                    </w:rPr>
                    <w:t>Heat Severe Drought S-T</w:t>
                  </w:r>
                </w:p>
              </w:tc>
              <w:tc>
                <w:tcPr>
                  <w:tcW w:w="733" w:type="dxa"/>
                  <w:tcBorders>
                    <w:top w:val="nil"/>
                    <w:left w:val="nil"/>
                    <w:bottom w:val="single" w:sz="4" w:space="0" w:color="000000"/>
                    <w:right w:val="single" w:sz="4" w:space="0" w:color="000000"/>
                  </w:tcBorders>
                  <w:shd w:val="clear" w:color="auto" w:fill="auto"/>
                  <w:vAlign w:val="center"/>
                </w:tcPr>
                <w:p w14:paraId="6156C6B8" w14:textId="77777777" w:rsidR="00B840DC" w:rsidRDefault="002164CF">
                  <w:pPr>
                    <w:jc w:val="center"/>
                    <w:rPr>
                      <w:color w:val="000000"/>
                      <w:sz w:val="14"/>
                      <w:szCs w:val="14"/>
                    </w:rPr>
                  </w:pPr>
                  <w:r>
                    <w:rPr>
                      <w:color w:val="000000"/>
                      <w:sz w:val="14"/>
                      <w:szCs w:val="14"/>
                    </w:rPr>
                    <w:t>-2.46</w:t>
                  </w:r>
                </w:p>
              </w:tc>
              <w:tc>
                <w:tcPr>
                  <w:tcW w:w="710" w:type="dxa"/>
                  <w:tcBorders>
                    <w:top w:val="nil"/>
                    <w:left w:val="nil"/>
                    <w:bottom w:val="single" w:sz="4" w:space="0" w:color="000000"/>
                    <w:right w:val="single" w:sz="4" w:space="0" w:color="000000"/>
                  </w:tcBorders>
                  <w:shd w:val="clear" w:color="auto" w:fill="auto"/>
                  <w:vAlign w:val="center"/>
                </w:tcPr>
                <w:p w14:paraId="59125C7B" w14:textId="77777777" w:rsidR="00B840DC" w:rsidRDefault="002164CF">
                  <w:pPr>
                    <w:jc w:val="center"/>
                    <w:rPr>
                      <w:color w:val="000000"/>
                      <w:sz w:val="14"/>
                      <w:szCs w:val="14"/>
                    </w:rPr>
                  </w:pPr>
                  <w:r>
                    <w:rPr>
                      <w:color w:val="000000"/>
                      <w:sz w:val="14"/>
                      <w:szCs w:val="14"/>
                    </w:rPr>
                    <w:t>2.46</w:t>
                  </w:r>
                </w:p>
              </w:tc>
            </w:tr>
            <w:tr w:rsidR="00B840DC" w14:paraId="297AB2C6" w14:textId="77777777">
              <w:trPr>
                <w:trHeight w:val="153"/>
                <w:jc w:val="right"/>
              </w:trPr>
              <w:tc>
                <w:tcPr>
                  <w:tcW w:w="2141" w:type="dxa"/>
                  <w:tcBorders>
                    <w:top w:val="nil"/>
                    <w:left w:val="single" w:sz="4" w:space="0" w:color="000000"/>
                    <w:bottom w:val="single" w:sz="4" w:space="0" w:color="000000"/>
                    <w:right w:val="single" w:sz="4" w:space="0" w:color="000000"/>
                  </w:tcBorders>
                  <w:shd w:val="clear" w:color="auto" w:fill="auto"/>
                  <w:vAlign w:val="center"/>
                </w:tcPr>
                <w:p w14:paraId="3C5BE0A7" w14:textId="77777777" w:rsidR="00B840DC" w:rsidRPr="004815A0" w:rsidRDefault="002164CF">
                  <w:pPr>
                    <w:jc w:val="center"/>
                    <w:rPr>
                      <w:color w:val="000000"/>
                      <w:sz w:val="14"/>
                      <w:szCs w:val="14"/>
                      <w:lang w:val="en-GB"/>
                    </w:rPr>
                  </w:pPr>
                  <w:r w:rsidRPr="004815A0">
                    <w:rPr>
                      <w:color w:val="000000"/>
                      <w:sz w:val="14"/>
                      <w:szCs w:val="14"/>
                      <w:lang w:val="en-GB"/>
                    </w:rPr>
                    <w:t>Heat Extreme Drought L-T</w:t>
                  </w:r>
                </w:p>
              </w:tc>
              <w:tc>
                <w:tcPr>
                  <w:tcW w:w="733" w:type="dxa"/>
                  <w:tcBorders>
                    <w:top w:val="nil"/>
                    <w:left w:val="nil"/>
                    <w:bottom w:val="single" w:sz="4" w:space="0" w:color="000000"/>
                    <w:right w:val="single" w:sz="4" w:space="0" w:color="000000"/>
                  </w:tcBorders>
                  <w:shd w:val="clear" w:color="auto" w:fill="auto"/>
                  <w:vAlign w:val="center"/>
                </w:tcPr>
                <w:p w14:paraId="2BC63DE3" w14:textId="77777777" w:rsidR="00B840DC" w:rsidRDefault="002164CF">
                  <w:pPr>
                    <w:jc w:val="center"/>
                    <w:rPr>
                      <w:color w:val="000000"/>
                      <w:sz w:val="14"/>
                      <w:szCs w:val="14"/>
                    </w:rPr>
                  </w:pPr>
                  <w:r>
                    <w:rPr>
                      <w:color w:val="000000"/>
                      <w:sz w:val="14"/>
                      <w:szCs w:val="14"/>
                    </w:rPr>
                    <w:t>-2.34</w:t>
                  </w:r>
                </w:p>
              </w:tc>
              <w:tc>
                <w:tcPr>
                  <w:tcW w:w="710" w:type="dxa"/>
                  <w:tcBorders>
                    <w:top w:val="nil"/>
                    <w:left w:val="nil"/>
                    <w:bottom w:val="single" w:sz="4" w:space="0" w:color="000000"/>
                    <w:right w:val="single" w:sz="4" w:space="0" w:color="000000"/>
                  </w:tcBorders>
                  <w:shd w:val="clear" w:color="auto" w:fill="auto"/>
                  <w:vAlign w:val="center"/>
                </w:tcPr>
                <w:p w14:paraId="6F40F16C" w14:textId="77777777" w:rsidR="00B840DC" w:rsidRDefault="002164CF">
                  <w:pPr>
                    <w:jc w:val="center"/>
                    <w:rPr>
                      <w:color w:val="000000"/>
                      <w:sz w:val="14"/>
                      <w:szCs w:val="14"/>
                    </w:rPr>
                  </w:pPr>
                  <w:r>
                    <w:rPr>
                      <w:color w:val="000000"/>
                      <w:sz w:val="14"/>
                      <w:szCs w:val="14"/>
                    </w:rPr>
                    <w:t>2.34</w:t>
                  </w:r>
                </w:p>
              </w:tc>
            </w:tr>
          </w:tbl>
          <w:p w14:paraId="63291731" w14:textId="77777777" w:rsidR="00B840DC" w:rsidRDefault="00B840DC">
            <w:pPr>
              <w:jc w:val="center"/>
            </w:pPr>
          </w:p>
        </w:tc>
      </w:tr>
    </w:tbl>
    <w:p w14:paraId="4C32D369" w14:textId="77777777" w:rsidR="00B840DC" w:rsidRDefault="00B840DC"/>
    <w:p w14:paraId="54E54FF1" w14:textId="77777777" w:rsidR="00B840DC" w:rsidRDefault="00B840DC"/>
    <w:p w14:paraId="7C38A07F" w14:textId="77777777" w:rsidR="00B840DC" w:rsidRPr="004815A0" w:rsidRDefault="002164CF">
      <w:pPr>
        <w:rPr>
          <w:lang w:val="en-GB"/>
        </w:rPr>
      </w:pPr>
      <w:r w:rsidRPr="004815A0">
        <w:rPr>
          <w:lang w:val="en-GB"/>
        </w:rPr>
        <w:lastRenderedPageBreak/>
        <w:t xml:space="preserve">Similarly, when we concentrate on the Manufacturing sector, economic variables still have the largest effect on industrial production as shown by Figure </w:t>
      </w:r>
      <w:proofErr w:type="gramStart"/>
      <w:r w:rsidRPr="004815A0">
        <w:rPr>
          <w:lang w:val="en-GB"/>
        </w:rPr>
        <w:t>5..</w:t>
      </w:r>
      <w:proofErr w:type="gramEnd"/>
      <w:r w:rsidRPr="004815A0">
        <w:rPr>
          <w:lang w:val="en-GB"/>
        </w:rPr>
        <w:t xml:space="preserve"> Then, when aiming attention at climate variables (Table 2.), highly urbanized area, an increase in the median soil moisture anomalies, an increase in the long-term low flow severity, a heatwave associated Mild (Moderate) and long-term (short-term) droughts and a higher dispersion of the FAPAR tend to decrease manufacturing production. Surprisingly, the higher number of heatwaves, an increase in the SPI01 for a </w:t>
      </w:r>
      <w:proofErr w:type="spellStart"/>
      <w:r w:rsidRPr="004815A0">
        <w:rPr>
          <w:lang w:val="en-GB"/>
        </w:rPr>
        <w:t>neighboring</w:t>
      </w:r>
      <w:proofErr w:type="spellEnd"/>
      <w:r w:rsidRPr="004815A0">
        <w:rPr>
          <w:lang w:val="en-GB"/>
        </w:rPr>
        <w:t xml:space="preserve"> region, and short-term extremes droughts associated with a heatwave positively affect manufacturing production. As the relation between the manufacturing process is highly heterogeneous, and the extreme heat waves relatively rare, the latter effects should be carefully considered.</w:t>
      </w:r>
    </w:p>
    <w:p w14:paraId="23722113" w14:textId="77777777" w:rsidR="00B840DC" w:rsidRPr="004815A0" w:rsidRDefault="00B840DC">
      <w:pPr>
        <w:rPr>
          <w:lang w:val="en-GB"/>
        </w:rPr>
      </w:pPr>
    </w:p>
    <w:tbl>
      <w:tblPr>
        <w:tblStyle w:val="a3"/>
        <w:tblW w:w="9026" w:type="dxa"/>
        <w:tblBorders>
          <w:top w:val="nil"/>
          <w:left w:val="nil"/>
          <w:bottom w:val="nil"/>
          <w:right w:val="nil"/>
          <w:insideH w:val="nil"/>
          <w:insideV w:val="nil"/>
        </w:tblBorders>
        <w:tblLayout w:type="fixed"/>
        <w:tblLook w:val="0400" w:firstRow="0" w:lastRow="0" w:firstColumn="0" w:lastColumn="0" w:noHBand="0" w:noVBand="1"/>
      </w:tblPr>
      <w:tblGrid>
        <w:gridCol w:w="4844"/>
        <w:gridCol w:w="4182"/>
      </w:tblGrid>
      <w:tr w:rsidR="00B840DC" w:rsidRPr="004815A0" w14:paraId="60CF0427" w14:textId="77777777">
        <w:tc>
          <w:tcPr>
            <w:tcW w:w="4844" w:type="dxa"/>
          </w:tcPr>
          <w:p w14:paraId="6C6B8FF8" w14:textId="77777777" w:rsidR="00B840DC" w:rsidRPr="004815A0" w:rsidRDefault="002164CF">
            <w:pPr>
              <w:rPr>
                <w:lang w:val="en-GB"/>
              </w:rPr>
            </w:pPr>
            <w:r w:rsidRPr="004815A0">
              <w:rPr>
                <w:lang w:val="en-GB"/>
              </w:rPr>
              <w:t>Figure 5. Top 10 Shapely values for the Manufacturing sector</w:t>
            </w:r>
          </w:p>
        </w:tc>
        <w:tc>
          <w:tcPr>
            <w:tcW w:w="4182" w:type="dxa"/>
          </w:tcPr>
          <w:p w14:paraId="757F1487" w14:textId="77777777" w:rsidR="00B840DC" w:rsidRPr="004815A0" w:rsidRDefault="002164CF">
            <w:pPr>
              <w:jc w:val="center"/>
              <w:rPr>
                <w:lang w:val="en-GB"/>
              </w:rPr>
            </w:pPr>
            <w:r w:rsidRPr="004815A0">
              <w:rPr>
                <w:lang w:val="en-GB"/>
              </w:rPr>
              <w:t>Table 2. Top 10 Absolute Shapely values of climate variables for the Manufacturing sector</w:t>
            </w:r>
          </w:p>
          <w:p w14:paraId="27436D90" w14:textId="77777777" w:rsidR="00B840DC" w:rsidRPr="004815A0" w:rsidRDefault="00B840DC">
            <w:pPr>
              <w:jc w:val="center"/>
              <w:rPr>
                <w:lang w:val="en-GB"/>
              </w:rPr>
            </w:pPr>
          </w:p>
        </w:tc>
      </w:tr>
      <w:tr w:rsidR="00B840DC" w14:paraId="61C578B8" w14:textId="77777777">
        <w:tc>
          <w:tcPr>
            <w:tcW w:w="4844" w:type="dxa"/>
          </w:tcPr>
          <w:p w14:paraId="00DF3A04" w14:textId="77777777" w:rsidR="00B840DC" w:rsidRDefault="002164CF">
            <w:r>
              <w:rPr>
                <w:noProof/>
              </w:rPr>
              <w:drawing>
                <wp:inline distT="0" distB="0" distL="0" distR="0" wp14:anchorId="1B8D16E3" wp14:editId="0EB3CE4C">
                  <wp:extent cx="3194277" cy="2737463"/>
                  <wp:effectExtent l="0" t="0" r="0" b="0"/>
                  <wp:docPr id="22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l="4331" r="2230"/>
                          <a:stretch>
                            <a:fillRect/>
                          </a:stretch>
                        </pic:blipFill>
                        <pic:spPr>
                          <a:xfrm>
                            <a:off x="0" y="0"/>
                            <a:ext cx="3194277" cy="2737463"/>
                          </a:xfrm>
                          <a:prstGeom prst="rect">
                            <a:avLst/>
                          </a:prstGeom>
                          <a:ln/>
                        </pic:spPr>
                      </pic:pic>
                    </a:graphicData>
                  </a:graphic>
                </wp:inline>
              </w:drawing>
            </w:r>
          </w:p>
        </w:tc>
        <w:tc>
          <w:tcPr>
            <w:tcW w:w="4182" w:type="dxa"/>
          </w:tcPr>
          <w:p w14:paraId="0EC169DF" w14:textId="77777777" w:rsidR="00B840DC" w:rsidRDefault="00B840DC">
            <w:pPr>
              <w:pBdr>
                <w:top w:val="nil"/>
                <w:left w:val="nil"/>
                <w:bottom w:val="nil"/>
                <w:right w:val="nil"/>
                <w:between w:val="nil"/>
              </w:pBdr>
              <w:spacing w:before="0"/>
              <w:jc w:val="left"/>
            </w:pPr>
          </w:p>
          <w:tbl>
            <w:tblPr>
              <w:tblStyle w:val="a4"/>
              <w:tblW w:w="3946" w:type="dxa"/>
              <w:tblLayout w:type="fixed"/>
              <w:tblLook w:val="0400" w:firstRow="0" w:lastRow="0" w:firstColumn="0" w:lastColumn="0" w:noHBand="0" w:noVBand="1"/>
            </w:tblPr>
            <w:tblGrid>
              <w:gridCol w:w="2159"/>
              <w:gridCol w:w="717"/>
              <w:gridCol w:w="1070"/>
            </w:tblGrid>
            <w:tr w:rsidR="00B840DC" w14:paraId="0517E319" w14:textId="77777777">
              <w:trPr>
                <w:trHeight w:val="315"/>
              </w:trPr>
              <w:tc>
                <w:tcPr>
                  <w:tcW w:w="2159" w:type="dxa"/>
                  <w:tcBorders>
                    <w:top w:val="single" w:sz="8" w:space="0" w:color="000000"/>
                    <w:left w:val="single" w:sz="8" w:space="0" w:color="000000"/>
                    <w:bottom w:val="single" w:sz="8" w:space="0" w:color="000000"/>
                    <w:right w:val="single" w:sz="8" w:space="0" w:color="000000"/>
                  </w:tcBorders>
                  <w:shd w:val="clear" w:color="auto" w:fill="FFF2CC"/>
                  <w:vAlign w:val="center"/>
                </w:tcPr>
                <w:p w14:paraId="2D074F41" w14:textId="77777777" w:rsidR="00B840DC" w:rsidRDefault="002164CF">
                  <w:pPr>
                    <w:spacing w:line="240" w:lineRule="auto"/>
                    <w:jc w:val="center"/>
                    <w:rPr>
                      <w:b/>
                      <w:color w:val="000000"/>
                      <w:sz w:val="16"/>
                      <w:szCs w:val="16"/>
                    </w:rPr>
                  </w:pPr>
                  <w:proofErr w:type="spellStart"/>
                  <w:r>
                    <w:rPr>
                      <w:b/>
                      <w:color w:val="000000"/>
                      <w:sz w:val="16"/>
                      <w:szCs w:val="16"/>
                    </w:rPr>
                    <w:t>Features</w:t>
                  </w:r>
                  <w:proofErr w:type="spellEnd"/>
                </w:p>
              </w:tc>
              <w:tc>
                <w:tcPr>
                  <w:tcW w:w="717" w:type="dxa"/>
                  <w:tcBorders>
                    <w:top w:val="single" w:sz="8" w:space="0" w:color="000000"/>
                    <w:left w:val="nil"/>
                    <w:bottom w:val="single" w:sz="8" w:space="0" w:color="000000"/>
                    <w:right w:val="single" w:sz="8" w:space="0" w:color="000000"/>
                  </w:tcBorders>
                  <w:shd w:val="clear" w:color="auto" w:fill="FFF2CC"/>
                  <w:vAlign w:val="center"/>
                </w:tcPr>
                <w:p w14:paraId="0C783B48" w14:textId="77777777" w:rsidR="00B840DC" w:rsidRDefault="002164CF">
                  <w:pPr>
                    <w:spacing w:line="240" w:lineRule="auto"/>
                    <w:jc w:val="center"/>
                    <w:rPr>
                      <w:b/>
                      <w:color w:val="000000"/>
                      <w:sz w:val="16"/>
                      <w:szCs w:val="16"/>
                    </w:rPr>
                  </w:pPr>
                  <w:proofErr w:type="spellStart"/>
                  <w:r>
                    <w:rPr>
                      <w:b/>
                      <w:color w:val="000000"/>
                      <w:sz w:val="16"/>
                      <w:szCs w:val="16"/>
                    </w:rPr>
                    <w:t>Shap</w:t>
                  </w:r>
                  <w:proofErr w:type="spellEnd"/>
                  <w:r>
                    <w:rPr>
                      <w:b/>
                      <w:color w:val="000000"/>
                      <w:sz w:val="16"/>
                      <w:szCs w:val="16"/>
                    </w:rPr>
                    <w:t xml:space="preserve"> Value</w:t>
                  </w:r>
                </w:p>
              </w:tc>
              <w:tc>
                <w:tcPr>
                  <w:tcW w:w="1070" w:type="dxa"/>
                  <w:tcBorders>
                    <w:top w:val="single" w:sz="8" w:space="0" w:color="000000"/>
                    <w:left w:val="nil"/>
                    <w:bottom w:val="single" w:sz="8" w:space="0" w:color="000000"/>
                    <w:right w:val="single" w:sz="8" w:space="0" w:color="000000"/>
                  </w:tcBorders>
                  <w:shd w:val="clear" w:color="auto" w:fill="FFF2CC"/>
                  <w:vAlign w:val="center"/>
                </w:tcPr>
                <w:p w14:paraId="7B86FFFF" w14:textId="77777777" w:rsidR="00B840DC" w:rsidRDefault="002164CF">
                  <w:pPr>
                    <w:spacing w:line="240" w:lineRule="auto"/>
                    <w:jc w:val="center"/>
                    <w:rPr>
                      <w:b/>
                      <w:color w:val="000000"/>
                      <w:sz w:val="16"/>
                      <w:szCs w:val="16"/>
                    </w:rPr>
                  </w:pPr>
                  <w:r>
                    <w:rPr>
                      <w:b/>
                      <w:color w:val="000000"/>
                      <w:sz w:val="16"/>
                      <w:szCs w:val="16"/>
                    </w:rPr>
                    <w:t xml:space="preserve">Abs </w:t>
                  </w:r>
                  <w:proofErr w:type="spellStart"/>
                  <w:r>
                    <w:rPr>
                      <w:b/>
                      <w:color w:val="000000"/>
                      <w:sz w:val="16"/>
                      <w:szCs w:val="16"/>
                    </w:rPr>
                    <w:t>Shap</w:t>
                  </w:r>
                  <w:proofErr w:type="spellEnd"/>
                  <w:r>
                    <w:rPr>
                      <w:b/>
                      <w:color w:val="000000"/>
                      <w:sz w:val="16"/>
                      <w:szCs w:val="16"/>
                    </w:rPr>
                    <w:t xml:space="preserve"> Value</w:t>
                  </w:r>
                </w:p>
              </w:tc>
            </w:tr>
            <w:tr w:rsidR="00B840DC" w14:paraId="275D1211" w14:textId="77777777">
              <w:trPr>
                <w:trHeight w:val="315"/>
              </w:trPr>
              <w:tc>
                <w:tcPr>
                  <w:tcW w:w="2159" w:type="dxa"/>
                  <w:tcBorders>
                    <w:top w:val="nil"/>
                    <w:left w:val="single" w:sz="8" w:space="0" w:color="000000"/>
                    <w:bottom w:val="single" w:sz="8" w:space="0" w:color="000000"/>
                    <w:right w:val="single" w:sz="8" w:space="0" w:color="000000"/>
                  </w:tcBorders>
                  <w:shd w:val="clear" w:color="auto" w:fill="auto"/>
                  <w:vAlign w:val="center"/>
                </w:tcPr>
                <w:p w14:paraId="006FDEEC" w14:textId="77777777" w:rsidR="00B840DC" w:rsidRDefault="002164CF">
                  <w:pPr>
                    <w:spacing w:line="240" w:lineRule="auto"/>
                    <w:jc w:val="center"/>
                    <w:rPr>
                      <w:color w:val="000000"/>
                      <w:sz w:val="16"/>
                      <w:szCs w:val="16"/>
                    </w:rPr>
                  </w:pPr>
                  <w:r>
                    <w:rPr>
                      <w:color w:val="000000"/>
                      <w:sz w:val="16"/>
                      <w:szCs w:val="16"/>
                    </w:rPr>
                    <w:t>Count of Heat Waves</w:t>
                  </w:r>
                </w:p>
              </w:tc>
              <w:tc>
                <w:tcPr>
                  <w:tcW w:w="717" w:type="dxa"/>
                  <w:tcBorders>
                    <w:top w:val="nil"/>
                    <w:left w:val="nil"/>
                    <w:bottom w:val="single" w:sz="8" w:space="0" w:color="000000"/>
                    <w:right w:val="single" w:sz="8" w:space="0" w:color="000000"/>
                  </w:tcBorders>
                  <w:shd w:val="clear" w:color="auto" w:fill="auto"/>
                  <w:vAlign w:val="center"/>
                </w:tcPr>
                <w:p w14:paraId="5EC7B6FC" w14:textId="77777777" w:rsidR="00B840DC" w:rsidRDefault="002164CF">
                  <w:pPr>
                    <w:spacing w:line="240" w:lineRule="auto"/>
                    <w:jc w:val="center"/>
                    <w:rPr>
                      <w:color w:val="000000"/>
                      <w:sz w:val="16"/>
                      <w:szCs w:val="16"/>
                    </w:rPr>
                  </w:pPr>
                  <w:r>
                    <w:rPr>
                      <w:color w:val="000000"/>
                      <w:sz w:val="16"/>
                      <w:szCs w:val="16"/>
                    </w:rPr>
                    <w:t>144.06</w:t>
                  </w:r>
                </w:p>
              </w:tc>
              <w:tc>
                <w:tcPr>
                  <w:tcW w:w="1070" w:type="dxa"/>
                  <w:tcBorders>
                    <w:top w:val="nil"/>
                    <w:left w:val="nil"/>
                    <w:bottom w:val="single" w:sz="8" w:space="0" w:color="000000"/>
                    <w:right w:val="single" w:sz="8" w:space="0" w:color="000000"/>
                  </w:tcBorders>
                  <w:shd w:val="clear" w:color="auto" w:fill="auto"/>
                  <w:vAlign w:val="center"/>
                </w:tcPr>
                <w:p w14:paraId="2EC3C4AE" w14:textId="77777777" w:rsidR="00B840DC" w:rsidRDefault="002164CF">
                  <w:pPr>
                    <w:spacing w:line="240" w:lineRule="auto"/>
                    <w:jc w:val="center"/>
                    <w:rPr>
                      <w:color w:val="000000"/>
                      <w:sz w:val="16"/>
                      <w:szCs w:val="16"/>
                    </w:rPr>
                  </w:pPr>
                  <w:r>
                    <w:rPr>
                      <w:color w:val="000000"/>
                      <w:sz w:val="16"/>
                      <w:szCs w:val="16"/>
                    </w:rPr>
                    <w:t>144.06</w:t>
                  </w:r>
                </w:p>
              </w:tc>
            </w:tr>
            <w:tr w:rsidR="00B840DC" w14:paraId="6E204382" w14:textId="77777777">
              <w:trPr>
                <w:trHeight w:val="315"/>
              </w:trPr>
              <w:tc>
                <w:tcPr>
                  <w:tcW w:w="2159" w:type="dxa"/>
                  <w:tcBorders>
                    <w:top w:val="nil"/>
                    <w:left w:val="single" w:sz="8" w:space="0" w:color="000000"/>
                    <w:bottom w:val="single" w:sz="8" w:space="0" w:color="000000"/>
                    <w:right w:val="single" w:sz="8" w:space="0" w:color="000000"/>
                  </w:tcBorders>
                  <w:shd w:val="clear" w:color="auto" w:fill="auto"/>
                  <w:vAlign w:val="center"/>
                </w:tcPr>
                <w:p w14:paraId="388ADB43" w14:textId="77777777" w:rsidR="00B840DC" w:rsidRDefault="002164CF">
                  <w:pPr>
                    <w:spacing w:line="240" w:lineRule="auto"/>
                    <w:jc w:val="center"/>
                    <w:rPr>
                      <w:color w:val="000000"/>
                      <w:sz w:val="16"/>
                      <w:szCs w:val="16"/>
                    </w:rPr>
                  </w:pPr>
                  <w:proofErr w:type="spellStart"/>
                  <w:r>
                    <w:rPr>
                      <w:color w:val="000000"/>
                      <w:sz w:val="16"/>
                      <w:szCs w:val="16"/>
                    </w:rPr>
                    <w:t>Neighbours</w:t>
                  </w:r>
                  <w:proofErr w:type="spellEnd"/>
                  <w:r>
                    <w:rPr>
                      <w:color w:val="000000"/>
                      <w:sz w:val="16"/>
                      <w:szCs w:val="16"/>
                    </w:rPr>
                    <w:t xml:space="preserve">' </w:t>
                  </w:r>
                  <w:proofErr w:type="spellStart"/>
                  <w:r>
                    <w:rPr>
                      <w:color w:val="000000"/>
                      <w:sz w:val="16"/>
                      <w:szCs w:val="16"/>
                    </w:rPr>
                    <w:t>Median</w:t>
                  </w:r>
                  <w:proofErr w:type="spellEnd"/>
                  <w:r>
                    <w:rPr>
                      <w:color w:val="000000"/>
                      <w:sz w:val="16"/>
                      <w:szCs w:val="16"/>
                    </w:rPr>
                    <w:t xml:space="preserve"> SPI01</w:t>
                  </w:r>
                </w:p>
              </w:tc>
              <w:tc>
                <w:tcPr>
                  <w:tcW w:w="717" w:type="dxa"/>
                  <w:tcBorders>
                    <w:top w:val="nil"/>
                    <w:left w:val="nil"/>
                    <w:bottom w:val="single" w:sz="8" w:space="0" w:color="000000"/>
                    <w:right w:val="single" w:sz="8" w:space="0" w:color="000000"/>
                  </w:tcBorders>
                  <w:shd w:val="clear" w:color="auto" w:fill="auto"/>
                  <w:vAlign w:val="center"/>
                </w:tcPr>
                <w:p w14:paraId="420A5EF3" w14:textId="77777777" w:rsidR="00B840DC" w:rsidRDefault="002164CF">
                  <w:pPr>
                    <w:spacing w:line="240" w:lineRule="auto"/>
                    <w:jc w:val="center"/>
                    <w:rPr>
                      <w:color w:val="000000"/>
                      <w:sz w:val="16"/>
                      <w:szCs w:val="16"/>
                    </w:rPr>
                  </w:pPr>
                  <w:r>
                    <w:rPr>
                      <w:color w:val="000000"/>
                      <w:sz w:val="16"/>
                      <w:szCs w:val="16"/>
                    </w:rPr>
                    <w:t>113.34</w:t>
                  </w:r>
                </w:p>
              </w:tc>
              <w:tc>
                <w:tcPr>
                  <w:tcW w:w="1070" w:type="dxa"/>
                  <w:tcBorders>
                    <w:top w:val="nil"/>
                    <w:left w:val="nil"/>
                    <w:bottom w:val="single" w:sz="8" w:space="0" w:color="000000"/>
                    <w:right w:val="single" w:sz="8" w:space="0" w:color="000000"/>
                  </w:tcBorders>
                  <w:shd w:val="clear" w:color="auto" w:fill="auto"/>
                  <w:vAlign w:val="center"/>
                </w:tcPr>
                <w:p w14:paraId="22E9604E" w14:textId="77777777" w:rsidR="00B840DC" w:rsidRDefault="002164CF">
                  <w:pPr>
                    <w:spacing w:line="240" w:lineRule="auto"/>
                    <w:jc w:val="center"/>
                    <w:rPr>
                      <w:color w:val="000000"/>
                      <w:sz w:val="16"/>
                      <w:szCs w:val="16"/>
                    </w:rPr>
                  </w:pPr>
                  <w:r>
                    <w:rPr>
                      <w:color w:val="000000"/>
                      <w:sz w:val="16"/>
                      <w:szCs w:val="16"/>
                    </w:rPr>
                    <w:t>113.34</w:t>
                  </w:r>
                </w:p>
              </w:tc>
            </w:tr>
            <w:tr w:rsidR="00B840DC" w14:paraId="27FDD1D1" w14:textId="77777777">
              <w:trPr>
                <w:trHeight w:val="315"/>
              </w:trPr>
              <w:tc>
                <w:tcPr>
                  <w:tcW w:w="2159" w:type="dxa"/>
                  <w:tcBorders>
                    <w:top w:val="nil"/>
                    <w:left w:val="single" w:sz="8" w:space="0" w:color="000000"/>
                    <w:bottom w:val="single" w:sz="8" w:space="0" w:color="000000"/>
                    <w:right w:val="single" w:sz="8" w:space="0" w:color="000000"/>
                  </w:tcBorders>
                  <w:shd w:val="clear" w:color="auto" w:fill="auto"/>
                  <w:vAlign w:val="center"/>
                </w:tcPr>
                <w:p w14:paraId="66CAD4C0" w14:textId="77777777" w:rsidR="00B840DC" w:rsidRDefault="002164CF">
                  <w:pPr>
                    <w:spacing w:line="240" w:lineRule="auto"/>
                    <w:jc w:val="center"/>
                    <w:rPr>
                      <w:color w:val="000000"/>
                      <w:sz w:val="16"/>
                      <w:szCs w:val="16"/>
                    </w:rPr>
                  </w:pPr>
                  <w:r>
                    <w:rPr>
                      <w:color w:val="000000"/>
                      <w:sz w:val="16"/>
                      <w:szCs w:val="16"/>
                    </w:rPr>
                    <w:t>Urban Type</w:t>
                  </w:r>
                </w:p>
              </w:tc>
              <w:tc>
                <w:tcPr>
                  <w:tcW w:w="717" w:type="dxa"/>
                  <w:tcBorders>
                    <w:top w:val="nil"/>
                    <w:left w:val="nil"/>
                    <w:bottom w:val="single" w:sz="8" w:space="0" w:color="000000"/>
                    <w:right w:val="single" w:sz="8" w:space="0" w:color="000000"/>
                  </w:tcBorders>
                  <w:shd w:val="clear" w:color="auto" w:fill="auto"/>
                  <w:vAlign w:val="center"/>
                </w:tcPr>
                <w:p w14:paraId="0E50B3C7" w14:textId="77777777" w:rsidR="00B840DC" w:rsidRDefault="002164CF">
                  <w:pPr>
                    <w:spacing w:line="240" w:lineRule="auto"/>
                    <w:jc w:val="center"/>
                    <w:rPr>
                      <w:color w:val="000000"/>
                      <w:sz w:val="16"/>
                      <w:szCs w:val="16"/>
                    </w:rPr>
                  </w:pPr>
                  <w:r>
                    <w:rPr>
                      <w:color w:val="000000"/>
                      <w:sz w:val="16"/>
                      <w:szCs w:val="16"/>
                    </w:rPr>
                    <w:t>-50.28</w:t>
                  </w:r>
                </w:p>
              </w:tc>
              <w:tc>
                <w:tcPr>
                  <w:tcW w:w="1070" w:type="dxa"/>
                  <w:tcBorders>
                    <w:top w:val="nil"/>
                    <w:left w:val="nil"/>
                    <w:bottom w:val="single" w:sz="8" w:space="0" w:color="000000"/>
                    <w:right w:val="single" w:sz="8" w:space="0" w:color="000000"/>
                  </w:tcBorders>
                  <w:shd w:val="clear" w:color="auto" w:fill="auto"/>
                  <w:vAlign w:val="center"/>
                </w:tcPr>
                <w:p w14:paraId="490D8D98" w14:textId="77777777" w:rsidR="00B840DC" w:rsidRDefault="002164CF">
                  <w:pPr>
                    <w:spacing w:line="240" w:lineRule="auto"/>
                    <w:jc w:val="center"/>
                    <w:rPr>
                      <w:color w:val="000000"/>
                      <w:sz w:val="16"/>
                      <w:szCs w:val="16"/>
                    </w:rPr>
                  </w:pPr>
                  <w:r>
                    <w:rPr>
                      <w:color w:val="000000"/>
                      <w:sz w:val="16"/>
                      <w:szCs w:val="16"/>
                    </w:rPr>
                    <w:t>50.28</w:t>
                  </w:r>
                </w:p>
              </w:tc>
            </w:tr>
            <w:tr w:rsidR="00B840DC" w14:paraId="4192D35B" w14:textId="77777777">
              <w:trPr>
                <w:trHeight w:val="315"/>
              </w:trPr>
              <w:tc>
                <w:tcPr>
                  <w:tcW w:w="2159" w:type="dxa"/>
                  <w:tcBorders>
                    <w:top w:val="nil"/>
                    <w:left w:val="single" w:sz="8" w:space="0" w:color="000000"/>
                    <w:bottom w:val="single" w:sz="8" w:space="0" w:color="000000"/>
                    <w:right w:val="single" w:sz="8" w:space="0" w:color="000000"/>
                  </w:tcBorders>
                  <w:shd w:val="clear" w:color="auto" w:fill="auto"/>
                  <w:vAlign w:val="center"/>
                </w:tcPr>
                <w:p w14:paraId="4F671159" w14:textId="77777777" w:rsidR="00B840DC" w:rsidRDefault="002164CF">
                  <w:pPr>
                    <w:spacing w:line="240" w:lineRule="auto"/>
                    <w:jc w:val="center"/>
                    <w:rPr>
                      <w:color w:val="000000"/>
                      <w:sz w:val="16"/>
                      <w:szCs w:val="16"/>
                    </w:rPr>
                  </w:pPr>
                  <w:proofErr w:type="spellStart"/>
                  <w:r>
                    <w:rPr>
                      <w:color w:val="000000"/>
                      <w:sz w:val="16"/>
                      <w:szCs w:val="16"/>
                    </w:rPr>
                    <w:t>Average</w:t>
                  </w:r>
                  <w:proofErr w:type="spellEnd"/>
                  <w:r>
                    <w:rPr>
                      <w:color w:val="000000"/>
                      <w:sz w:val="16"/>
                      <w:szCs w:val="16"/>
                    </w:rPr>
                    <w:t xml:space="preserve"> </w:t>
                  </w:r>
                  <w:proofErr w:type="spellStart"/>
                  <w:r>
                    <w:rPr>
                      <w:color w:val="000000"/>
                      <w:sz w:val="16"/>
                      <w:szCs w:val="16"/>
                    </w:rPr>
                    <w:t>Median</w:t>
                  </w:r>
                  <w:proofErr w:type="spellEnd"/>
                  <w:r>
                    <w:rPr>
                      <w:color w:val="000000"/>
                      <w:sz w:val="16"/>
                      <w:szCs w:val="16"/>
                    </w:rPr>
                    <w:t xml:space="preserve"> SMA</w:t>
                  </w:r>
                </w:p>
              </w:tc>
              <w:tc>
                <w:tcPr>
                  <w:tcW w:w="717" w:type="dxa"/>
                  <w:tcBorders>
                    <w:top w:val="nil"/>
                    <w:left w:val="nil"/>
                    <w:bottom w:val="single" w:sz="8" w:space="0" w:color="000000"/>
                    <w:right w:val="single" w:sz="8" w:space="0" w:color="000000"/>
                  </w:tcBorders>
                  <w:shd w:val="clear" w:color="auto" w:fill="auto"/>
                  <w:vAlign w:val="center"/>
                </w:tcPr>
                <w:p w14:paraId="401155AE" w14:textId="77777777" w:rsidR="00B840DC" w:rsidRDefault="002164CF">
                  <w:pPr>
                    <w:spacing w:line="240" w:lineRule="auto"/>
                    <w:jc w:val="center"/>
                    <w:rPr>
                      <w:color w:val="000000"/>
                      <w:sz w:val="16"/>
                      <w:szCs w:val="16"/>
                    </w:rPr>
                  </w:pPr>
                  <w:r>
                    <w:rPr>
                      <w:color w:val="000000"/>
                      <w:sz w:val="16"/>
                      <w:szCs w:val="16"/>
                    </w:rPr>
                    <w:t>-44.85</w:t>
                  </w:r>
                </w:p>
              </w:tc>
              <w:tc>
                <w:tcPr>
                  <w:tcW w:w="1070" w:type="dxa"/>
                  <w:tcBorders>
                    <w:top w:val="nil"/>
                    <w:left w:val="nil"/>
                    <w:bottom w:val="single" w:sz="8" w:space="0" w:color="000000"/>
                    <w:right w:val="single" w:sz="8" w:space="0" w:color="000000"/>
                  </w:tcBorders>
                  <w:shd w:val="clear" w:color="auto" w:fill="auto"/>
                  <w:vAlign w:val="center"/>
                </w:tcPr>
                <w:p w14:paraId="7410BF96" w14:textId="77777777" w:rsidR="00B840DC" w:rsidRDefault="002164CF">
                  <w:pPr>
                    <w:spacing w:line="240" w:lineRule="auto"/>
                    <w:jc w:val="center"/>
                    <w:rPr>
                      <w:color w:val="000000"/>
                      <w:sz w:val="16"/>
                      <w:szCs w:val="16"/>
                    </w:rPr>
                  </w:pPr>
                  <w:r>
                    <w:rPr>
                      <w:color w:val="000000"/>
                      <w:sz w:val="16"/>
                      <w:szCs w:val="16"/>
                    </w:rPr>
                    <w:t>44.85</w:t>
                  </w:r>
                </w:p>
              </w:tc>
            </w:tr>
            <w:tr w:rsidR="00B840DC" w14:paraId="7046224C" w14:textId="77777777">
              <w:trPr>
                <w:trHeight w:val="315"/>
              </w:trPr>
              <w:tc>
                <w:tcPr>
                  <w:tcW w:w="2159" w:type="dxa"/>
                  <w:tcBorders>
                    <w:top w:val="nil"/>
                    <w:left w:val="single" w:sz="8" w:space="0" w:color="000000"/>
                    <w:bottom w:val="single" w:sz="8" w:space="0" w:color="000000"/>
                    <w:right w:val="single" w:sz="8" w:space="0" w:color="000000"/>
                  </w:tcBorders>
                  <w:shd w:val="clear" w:color="auto" w:fill="auto"/>
                  <w:vAlign w:val="center"/>
                </w:tcPr>
                <w:p w14:paraId="38C31942" w14:textId="77777777" w:rsidR="00B840DC" w:rsidRPr="004815A0" w:rsidRDefault="002164CF">
                  <w:pPr>
                    <w:spacing w:line="240" w:lineRule="auto"/>
                    <w:jc w:val="center"/>
                    <w:rPr>
                      <w:color w:val="000000"/>
                      <w:sz w:val="16"/>
                      <w:szCs w:val="16"/>
                      <w:lang w:val="en-GB"/>
                    </w:rPr>
                  </w:pPr>
                  <w:r w:rsidRPr="004815A0">
                    <w:rPr>
                      <w:color w:val="000000"/>
                      <w:sz w:val="16"/>
                      <w:szCs w:val="16"/>
                      <w:lang w:val="en-GB"/>
                    </w:rPr>
                    <w:t>Low Flow L-T Average</w:t>
                  </w:r>
                </w:p>
              </w:tc>
              <w:tc>
                <w:tcPr>
                  <w:tcW w:w="717" w:type="dxa"/>
                  <w:tcBorders>
                    <w:top w:val="nil"/>
                    <w:left w:val="nil"/>
                    <w:bottom w:val="single" w:sz="8" w:space="0" w:color="000000"/>
                    <w:right w:val="single" w:sz="8" w:space="0" w:color="000000"/>
                  </w:tcBorders>
                  <w:shd w:val="clear" w:color="auto" w:fill="auto"/>
                  <w:vAlign w:val="center"/>
                </w:tcPr>
                <w:p w14:paraId="2FACD298" w14:textId="77777777" w:rsidR="00B840DC" w:rsidRDefault="002164CF">
                  <w:pPr>
                    <w:spacing w:line="240" w:lineRule="auto"/>
                    <w:jc w:val="center"/>
                    <w:rPr>
                      <w:color w:val="000000"/>
                      <w:sz w:val="16"/>
                      <w:szCs w:val="16"/>
                    </w:rPr>
                  </w:pPr>
                  <w:r>
                    <w:rPr>
                      <w:color w:val="000000"/>
                      <w:sz w:val="16"/>
                      <w:szCs w:val="16"/>
                    </w:rPr>
                    <w:t>-41.12</w:t>
                  </w:r>
                </w:p>
              </w:tc>
              <w:tc>
                <w:tcPr>
                  <w:tcW w:w="1070" w:type="dxa"/>
                  <w:tcBorders>
                    <w:top w:val="nil"/>
                    <w:left w:val="nil"/>
                    <w:bottom w:val="single" w:sz="8" w:space="0" w:color="000000"/>
                    <w:right w:val="single" w:sz="8" w:space="0" w:color="000000"/>
                  </w:tcBorders>
                  <w:shd w:val="clear" w:color="auto" w:fill="auto"/>
                  <w:vAlign w:val="center"/>
                </w:tcPr>
                <w:p w14:paraId="1417CDFD" w14:textId="77777777" w:rsidR="00B840DC" w:rsidRDefault="002164CF">
                  <w:pPr>
                    <w:spacing w:line="240" w:lineRule="auto"/>
                    <w:jc w:val="center"/>
                    <w:rPr>
                      <w:color w:val="000000"/>
                      <w:sz w:val="16"/>
                      <w:szCs w:val="16"/>
                    </w:rPr>
                  </w:pPr>
                  <w:r>
                    <w:rPr>
                      <w:color w:val="000000"/>
                      <w:sz w:val="16"/>
                      <w:szCs w:val="16"/>
                    </w:rPr>
                    <w:t>41.12</w:t>
                  </w:r>
                </w:p>
              </w:tc>
            </w:tr>
            <w:tr w:rsidR="00B840DC" w14:paraId="4E9A9815" w14:textId="77777777">
              <w:trPr>
                <w:trHeight w:val="315"/>
              </w:trPr>
              <w:tc>
                <w:tcPr>
                  <w:tcW w:w="2159" w:type="dxa"/>
                  <w:tcBorders>
                    <w:top w:val="nil"/>
                    <w:left w:val="single" w:sz="8" w:space="0" w:color="000000"/>
                    <w:bottom w:val="single" w:sz="8" w:space="0" w:color="000000"/>
                    <w:right w:val="single" w:sz="8" w:space="0" w:color="000000"/>
                  </w:tcBorders>
                  <w:shd w:val="clear" w:color="auto" w:fill="auto"/>
                  <w:vAlign w:val="center"/>
                </w:tcPr>
                <w:p w14:paraId="4D9EB113" w14:textId="77777777" w:rsidR="00B840DC" w:rsidRPr="004815A0" w:rsidRDefault="002164CF">
                  <w:pPr>
                    <w:spacing w:line="240" w:lineRule="auto"/>
                    <w:jc w:val="center"/>
                    <w:rPr>
                      <w:color w:val="000000"/>
                      <w:sz w:val="16"/>
                      <w:szCs w:val="16"/>
                      <w:lang w:val="en-GB"/>
                    </w:rPr>
                  </w:pPr>
                  <w:r w:rsidRPr="004815A0">
                    <w:rPr>
                      <w:color w:val="000000"/>
                      <w:sz w:val="16"/>
                      <w:szCs w:val="16"/>
                      <w:lang w:val="en-GB"/>
                    </w:rPr>
                    <w:t>Heat Mild Drought L-T</w:t>
                  </w:r>
                </w:p>
              </w:tc>
              <w:tc>
                <w:tcPr>
                  <w:tcW w:w="717" w:type="dxa"/>
                  <w:tcBorders>
                    <w:top w:val="nil"/>
                    <w:left w:val="nil"/>
                    <w:bottom w:val="single" w:sz="8" w:space="0" w:color="000000"/>
                    <w:right w:val="single" w:sz="8" w:space="0" w:color="000000"/>
                  </w:tcBorders>
                  <w:shd w:val="clear" w:color="auto" w:fill="auto"/>
                  <w:vAlign w:val="center"/>
                </w:tcPr>
                <w:p w14:paraId="5BFBFC4B" w14:textId="77777777" w:rsidR="00B840DC" w:rsidRDefault="002164CF">
                  <w:pPr>
                    <w:spacing w:line="240" w:lineRule="auto"/>
                    <w:jc w:val="center"/>
                    <w:rPr>
                      <w:color w:val="000000"/>
                      <w:sz w:val="16"/>
                      <w:szCs w:val="16"/>
                    </w:rPr>
                  </w:pPr>
                  <w:r>
                    <w:rPr>
                      <w:color w:val="000000"/>
                      <w:sz w:val="16"/>
                      <w:szCs w:val="16"/>
                    </w:rPr>
                    <w:t>-39.32</w:t>
                  </w:r>
                </w:p>
              </w:tc>
              <w:tc>
                <w:tcPr>
                  <w:tcW w:w="1070" w:type="dxa"/>
                  <w:tcBorders>
                    <w:top w:val="nil"/>
                    <w:left w:val="nil"/>
                    <w:bottom w:val="single" w:sz="8" w:space="0" w:color="000000"/>
                    <w:right w:val="single" w:sz="8" w:space="0" w:color="000000"/>
                  </w:tcBorders>
                  <w:shd w:val="clear" w:color="auto" w:fill="auto"/>
                  <w:vAlign w:val="center"/>
                </w:tcPr>
                <w:p w14:paraId="6D0AB3A4" w14:textId="77777777" w:rsidR="00B840DC" w:rsidRDefault="002164CF">
                  <w:pPr>
                    <w:spacing w:line="240" w:lineRule="auto"/>
                    <w:jc w:val="center"/>
                    <w:rPr>
                      <w:color w:val="000000"/>
                      <w:sz w:val="16"/>
                      <w:szCs w:val="16"/>
                    </w:rPr>
                  </w:pPr>
                  <w:r>
                    <w:rPr>
                      <w:color w:val="000000"/>
                      <w:sz w:val="16"/>
                      <w:szCs w:val="16"/>
                    </w:rPr>
                    <w:t>39.32</w:t>
                  </w:r>
                </w:p>
              </w:tc>
            </w:tr>
            <w:tr w:rsidR="00B840DC" w14:paraId="12812AE7" w14:textId="77777777">
              <w:trPr>
                <w:trHeight w:val="315"/>
              </w:trPr>
              <w:tc>
                <w:tcPr>
                  <w:tcW w:w="2159" w:type="dxa"/>
                  <w:tcBorders>
                    <w:top w:val="nil"/>
                    <w:left w:val="single" w:sz="8" w:space="0" w:color="000000"/>
                    <w:bottom w:val="single" w:sz="8" w:space="0" w:color="000000"/>
                    <w:right w:val="single" w:sz="8" w:space="0" w:color="000000"/>
                  </w:tcBorders>
                  <w:shd w:val="clear" w:color="auto" w:fill="auto"/>
                  <w:vAlign w:val="center"/>
                </w:tcPr>
                <w:p w14:paraId="1BC94110" w14:textId="77777777" w:rsidR="00B840DC" w:rsidRPr="004815A0" w:rsidRDefault="002164CF">
                  <w:pPr>
                    <w:spacing w:line="240" w:lineRule="auto"/>
                    <w:jc w:val="center"/>
                    <w:rPr>
                      <w:color w:val="000000"/>
                      <w:sz w:val="16"/>
                      <w:szCs w:val="16"/>
                      <w:lang w:val="en-GB"/>
                    </w:rPr>
                  </w:pPr>
                  <w:r w:rsidRPr="004815A0">
                    <w:rPr>
                      <w:color w:val="000000"/>
                      <w:sz w:val="16"/>
                      <w:szCs w:val="16"/>
                      <w:lang w:val="en-GB"/>
                    </w:rPr>
                    <w:t>Heat Moderate Drought S-T</w:t>
                  </w:r>
                </w:p>
              </w:tc>
              <w:tc>
                <w:tcPr>
                  <w:tcW w:w="717" w:type="dxa"/>
                  <w:tcBorders>
                    <w:top w:val="nil"/>
                    <w:left w:val="nil"/>
                    <w:bottom w:val="single" w:sz="8" w:space="0" w:color="000000"/>
                    <w:right w:val="single" w:sz="8" w:space="0" w:color="000000"/>
                  </w:tcBorders>
                  <w:shd w:val="clear" w:color="auto" w:fill="auto"/>
                  <w:vAlign w:val="center"/>
                </w:tcPr>
                <w:p w14:paraId="12D1B7B7" w14:textId="77777777" w:rsidR="00B840DC" w:rsidRDefault="002164CF">
                  <w:pPr>
                    <w:spacing w:line="240" w:lineRule="auto"/>
                    <w:jc w:val="center"/>
                    <w:rPr>
                      <w:color w:val="000000"/>
                      <w:sz w:val="16"/>
                      <w:szCs w:val="16"/>
                    </w:rPr>
                  </w:pPr>
                  <w:r>
                    <w:rPr>
                      <w:color w:val="000000"/>
                      <w:sz w:val="16"/>
                      <w:szCs w:val="16"/>
                    </w:rPr>
                    <w:t>-38.02</w:t>
                  </w:r>
                </w:p>
              </w:tc>
              <w:tc>
                <w:tcPr>
                  <w:tcW w:w="1070" w:type="dxa"/>
                  <w:tcBorders>
                    <w:top w:val="nil"/>
                    <w:left w:val="nil"/>
                    <w:bottom w:val="single" w:sz="8" w:space="0" w:color="000000"/>
                    <w:right w:val="single" w:sz="8" w:space="0" w:color="000000"/>
                  </w:tcBorders>
                  <w:shd w:val="clear" w:color="auto" w:fill="auto"/>
                  <w:vAlign w:val="center"/>
                </w:tcPr>
                <w:p w14:paraId="1281A41A" w14:textId="77777777" w:rsidR="00B840DC" w:rsidRDefault="002164CF">
                  <w:pPr>
                    <w:spacing w:line="240" w:lineRule="auto"/>
                    <w:jc w:val="center"/>
                    <w:rPr>
                      <w:color w:val="000000"/>
                      <w:sz w:val="16"/>
                      <w:szCs w:val="16"/>
                    </w:rPr>
                  </w:pPr>
                  <w:r>
                    <w:rPr>
                      <w:color w:val="000000"/>
                      <w:sz w:val="16"/>
                      <w:szCs w:val="16"/>
                    </w:rPr>
                    <w:t>38.02</w:t>
                  </w:r>
                </w:p>
              </w:tc>
            </w:tr>
            <w:tr w:rsidR="00B840DC" w14:paraId="356646CB" w14:textId="77777777">
              <w:trPr>
                <w:trHeight w:val="315"/>
              </w:trPr>
              <w:tc>
                <w:tcPr>
                  <w:tcW w:w="2159" w:type="dxa"/>
                  <w:tcBorders>
                    <w:top w:val="nil"/>
                    <w:left w:val="single" w:sz="8" w:space="0" w:color="000000"/>
                    <w:bottom w:val="single" w:sz="8" w:space="0" w:color="000000"/>
                    <w:right w:val="single" w:sz="8" w:space="0" w:color="000000"/>
                  </w:tcBorders>
                  <w:shd w:val="clear" w:color="auto" w:fill="auto"/>
                  <w:vAlign w:val="center"/>
                </w:tcPr>
                <w:p w14:paraId="00578EE7" w14:textId="77777777" w:rsidR="00B840DC" w:rsidRPr="004815A0" w:rsidRDefault="002164CF">
                  <w:pPr>
                    <w:spacing w:line="240" w:lineRule="auto"/>
                    <w:jc w:val="center"/>
                    <w:rPr>
                      <w:color w:val="000000"/>
                      <w:sz w:val="16"/>
                      <w:szCs w:val="16"/>
                      <w:lang w:val="en-GB"/>
                    </w:rPr>
                  </w:pPr>
                  <w:r w:rsidRPr="004815A0">
                    <w:rPr>
                      <w:color w:val="000000"/>
                      <w:sz w:val="16"/>
                      <w:szCs w:val="16"/>
                      <w:lang w:val="en-GB"/>
                    </w:rPr>
                    <w:t>Heat Extreme Drought S-T</w:t>
                  </w:r>
                </w:p>
              </w:tc>
              <w:tc>
                <w:tcPr>
                  <w:tcW w:w="717" w:type="dxa"/>
                  <w:tcBorders>
                    <w:top w:val="nil"/>
                    <w:left w:val="nil"/>
                    <w:bottom w:val="single" w:sz="8" w:space="0" w:color="000000"/>
                    <w:right w:val="single" w:sz="8" w:space="0" w:color="000000"/>
                  </w:tcBorders>
                  <w:shd w:val="clear" w:color="auto" w:fill="auto"/>
                  <w:vAlign w:val="center"/>
                </w:tcPr>
                <w:p w14:paraId="3A11E320" w14:textId="77777777" w:rsidR="00B840DC" w:rsidRDefault="002164CF">
                  <w:pPr>
                    <w:spacing w:line="240" w:lineRule="auto"/>
                    <w:jc w:val="center"/>
                    <w:rPr>
                      <w:color w:val="000000"/>
                      <w:sz w:val="16"/>
                      <w:szCs w:val="16"/>
                    </w:rPr>
                  </w:pPr>
                  <w:r>
                    <w:rPr>
                      <w:color w:val="000000"/>
                      <w:sz w:val="16"/>
                      <w:szCs w:val="16"/>
                    </w:rPr>
                    <w:t>37.47</w:t>
                  </w:r>
                </w:p>
              </w:tc>
              <w:tc>
                <w:tcPr>
                  <w:tcW w:w="1070" w:type="dxa"/>
                  <w:tcBorders>
                    <w:top w:val="nil"/>
                    <w:left w:val="nil"/>
                    <w:bottom w:val="single" w:sz="8" w:space="0" w:color="000000"/>
                    <w:right w:val="single" w:sz="8" w:space="0" w:color="000000"/>
                  </w:tcBorders>
                  <w:shd w:val="clear" w:color="auto" w:fill="auto"/>
                  <w:vAlign w:val="center"/>
                </w:tcPr>
                <w:p w14:paraId="5B4306BC" w14:textId="77777777" w:rsidR="00B840DC" w:rsidRDefault="002164CF">
                  <w:pPr>
                    <w:spacing w:line="240" w:lineRule="auto"/>
                    <w:jc w:val="center"/>
                    <w:rPr>
                      <w:color w:val="000000"/>
                      <w:sz w:val="16"/>
                      <w:szCs w:val="16"/>
                    </w:rPr>
                  </w:pPr>
                  <w:r>
                    <w:rPr>
                      <w:color w:val="000000"/>
                      <w:sz w:val="16"/>
                      <w:szCs w:val="16"/>
                    </w:rPr>
                    <w:t>37.47</w:t>
                  </w:r>
                </w:p>
              </w:tc>
            </w:tr>
            <w:tr w:rsidR="00B840DC" w14:paraId="28106F27" w14:textId="77777777">
              <w:trPr>
                <w:trHeight w:val="315"/>
              </w:trPr>
              <w:tc>
                <w:tcPr>
                  <w:tcW w:w="2159" w:type="dxa"/>
                  <w:tcBorders>
                    <w:top w:val="nil"/>
                    <w:left w:val="single" w:sz="8" w:space="0" w:color="000000"/>
                    <w:bottom w:val="single" w:sz="8" w:space="0" w:color="000000"/>
                    <w:right w:val="single" w:sz="8" w:space="0" w:color="000000"/>
                  </w:tcBorders>
                  <w:shd w:val="clear" w:color="auto" w:fill="auto"/>
                  <w:vAlign w:val="center"/>
                </w:tcPr>
                <w:p w14:paraId="2FB6B430" w14:textId="77777777" w:rsidR="00B840DC" w:rsidRPr="004815A0" w:rsidRDefault="002164CF">
                  <w:pPr>
                    <w:spacing w:line="240" w:lineRule="auto"/>
                    <w:jc w:val="center"/>
                    <w:rPr>
                      <w:color w:val="000000"/>
                      <w:sz w:val="16"/>
                      <w:szCs w:val="16"/>
                      <w:lang w:val="en-GB"/>
                    </w:rPr>
                  </w:pPr>
                  <w:r w:rsidRPr="004815A0">
                    <w:rPr>
                      <w:color w:val="000000"/>
                      <w:sz w:val="16"/>
                      <w:szCs w:val="16"/>
                      <w:lang w:val="en-GB"/>
                    </w:rPr>
                    <w:t>Low Flow L-T Average</w:t>
                  </w:r>
                </w:p>
              </w:tc>
              <w:tc>
                <w:tcPr>
                  <w:tcW w:w="717" w:type="dxa"/>
                  <w:tcBorders>
                    <w:top w:val="nil"/>
                    <w:left w:val="nil"/>
                    <w:bottom w:val="single" w:sz="8" w:space="0" w:color="000000"/>
                    <w:right w:val="single" w:sz="8" w:space="0" w:color="000000"/>
                  </w:tcBorders>
                  <w:shd w:val="clear" w:color="auto" w:fill="auto"/>
                  <w:vAlign w:val="center"/>
                </w:tcPr>
                <w:p w14:paraId="0F2B5222" w14:textId="77777777" w:rsidR="00B840DC" w:rsidRDefault="002164CF">
                  <w:pPr>
                    <w:spacing w:line="240" w:lineRule="auto"/>
                    <w:jc w:val="center"/>
                    <w:rPr>
                      <w:color w:val="000000"/>
                      <w:sz w:val="16"/>
                      <w:szCs w:val="16"/>
                    </w:rPr>
                  </w:pPr>
                  <w:r>
                    <w:rPr>
                      <w:color w:val="000000"/>
                      <w:sz w:val="16"/>
                      <w:szCs w:val="16"/>
                    </w:rPr>
                    <w:t>-36.4</w:t>
                  </w:r>
                </w:p>
              </w:tc>
              <w:tc>
                <w:tcPr>
                  <w:tcW w:w="1070" w:type="dxa"/>
                  <w:tcBorders>
                    <w:top w:val="nil"/>
                    <w:left w:val="nil"/>
                    <w:bottom w:val="single" w:sz="8" w:space="0" w:color="000000"/>
                    <w:right w:val="single" w:sz="8" w:space="0" w:color="000000"/>
                  </w:tcBorders>
                  <w:shd w:val="clear" w:color="auto" w:fill="auto"/>
                  <w:vAlign w:val="center"/>
                </w:tcPr>
                <w:p w14:paraId="0BFA9AC7" w14:textId="77777777" w:rsidR="00B840DC" w:rsidRDefault="002164CF">
                  <w:pPr>
                    <w:spacing w:line="240" w:lineRule="auto"/>
                    <w:jc w:val="center"/>
                    <w:rPr>
                      <w:color w:val="000000"/>
                      <w:sz w:val="16"/>
                      <w:szCs w:val="16"/>
                    </w:rPr>
                  </w:pPr>
                  <w:r>
                    <w:rPr>
                      <w:color w:val="000000"/>
                      <w:sz w:val="16"/>
                      <w:szCs w:val="16"/>
                    </w:rPr>
                    <w:t>36.4</w:t>
                  </w:r>
                </w:p>
              </w:tc>
            </w:tr>
            <w:tr w:rsidR="00B840DC" w14:paraId="4ED59A18" w14:textId="77777777">
              <w:trPr>
                <w:trHeight w:val="315"/>
              </w:trPr>
              <w:tc>
                <w:tcPr>
                  <w:tcW w:w="2159" w:type="dxa"/>
                  <w:tcBorders>
                    <w:top w:val="nil"/>
                    <w:left w:val="single" w:sz="8" w:space="0" w:color="000000"/>
                    <w:bottom w:val="single" w:sz="8" w:space="0" w:color="000000"/>
                    <w:right w:val="single" w:sz="8" w:space="0" w:color="000000"/>
                  </w:tcBorders>
                  <w:shd w:val="clear" w:color="auto" w:fill="auto"/>
                  <w:vAlign w:val="center"/>
                </w:tcPr>
                <w:p w14:paraId="1985011D" w14:textId="77777777" w:rsidR="00B840DC" w:rsidRDefault="002164CF">
                  <w:pPr>
                    <w:spacing w:line="240" w:lineRule="auto"/>
                    <w:jc w:val="center"/>
                    <w:rPr>
                      <w:color w:val="000000"/>
                      <w:sz w:val="16"/>
                      <w:szCs w:val="16"/>
                    </w:rPr>
                  </w:pPr>
                  <w:r>
                    <w:rPr>
                      <w:color w:val="000000"/>
                      <w:sz w:val="16"/>
                      <w:szCs w:val="16"/>
                    </w:rPr>
                    <w:t xml:space="preserve">FAFAR standard </w:t>
                  </w:r>
                  <w:proofErr w:type="spellStart"/>
                  <w:r>
                    <w:rPr>
                      <w:color w:val="000000"/>
                      <w:sz w:val="16"/>
                      <w:szCs w:val="16"/>
                    </w:rPr>
                    <w:t>deviation</w:t>
                  </w:r>
                  <w:proofErr w:type="spellEnd"/>
                </w:p>
              </w:tc>
              <w:tc>
                <w:tcPr>
                  <w:tcW w:w="717" w:type="dxa"/>
                  <w:tcBorders>
                    <w:top w:val="nil"/>
                    <w:left w:val="nil"/>
                    <w:bottom w:val="single" w:sz="8" w:space="0" w:color="000000"/>
                    <w:right w:val="single" w:sz="8" w:space="0" w:color="000000"/>
                  </w:tcBorders>
                  <w:shd w:val="clear" w:color="auto" w:fill="auto"/>
                  <w:vAlign w:val="center"/>
                </w:tcPr>
                <w:p w14:paraId="1E887620" w14:textId="77777777" w:rsidR="00B840DC" w:rsidRDefault="002164CF">
                  <w:pPr>
                    <w:spacing w:line="240" w:lineRule="auto"/>
                    <w:jc w:val="center"/>
                    <w:rPr>
                      <w:color w:val="000000"/>
                      <w:sz w:val="16"/>
                      <w:szCs w:val="16"/>
                    </w:rPr>
                  </w:pPr>
                  <w:r>
                    <w:rPr>
                      <w:color w:val="000000"/>
                      <w:sz w:val="16"/>
                      <w:szCs w:val="16"/>
                    </w:rPr>
                    <w:t>-33.77</w:t>
                  </w:r>
                </w:p>
              </w:tc>
              <w:tc>
                <w:tcPr>
                  <w:tcW w:w="1070" w:type="dxa"/>
                  <w:tcBorders>
                    <w:top w:val="nil"/>
                    <w:left w:val="nil"/>
                    <w:bottom w:val="single" w:sz="8" w:space="0" w:color="000000"/>
                    <w:right w:val="single" w:sz="8" w:space="0" w:color="000000"/>
                  </w:tcBorders>
                  <w:shd w:val="clear" w:color="auto" w:fill="auto"/>
                  <w:vAlign w:val="center"/>
                </w:tcPr>
                <w:p w14:paraId="74287320" w14:textId="77777777" w:rsidR="00B840DC" w:rsidRDefault="002164CF">
                  <w:pPr>
                    <w:spacing w:line="240" w:lineRule="auto"/>
                    <w:jc w:val="center"/>
                    <w:rPr>
                      <w:color w:val="000000"/>
                      <w:sz w:val="16"/>
                      <w:szCs w:val="16"/>
                    </w:rPr>
                  </w:pPr>
                  <w:r>
                    <w:rPr>
                      <w:color w:val="000000"/>
                      <w:sz w:val="16"/>
                      <w:szCs w:val="16"/>
                    </w:rPr>
                    <w:t>33.77</w:t>
                  </w:r>
                </w:p>
              </w:tc>
            </w:tr>
          </w:tbl>
          <w:p w14:paraId="73857424" w14:textId="77777777" w:rsidR="00B840DC" w:rsidRDefault="00B840DC"/>
        </w:tc>
      </w:tr>
    </w:tbl>
    <w:p w14:paraId="6FB51D8E" w14:textId="77777777" w:rsidR="00B840DC" w:rsidRDefault="00B840DC"/>
    <w:p w14:paraId="123BD450" w14:textId="77777777" w:rsidR="00B840DC" w:rsidRDefault="002164CF">
      <w:pPr>
        <w:pStyle w:val="Heading1"/>
        <w:ind w:firstLine="0"/>
      </w:pPr>
      <w:r>
        <w:t>Conclusion</w:t>
      </w:r>
    </w:p>
    <w:p w14:paraId="1C4CC121" w14:textId="77777777" w:rsidR="00B840DC" w:rsidRPr="004815A0" w:rsidRDefault="002164CF">
      <w:pPr>
        <w:rPr>
          <w:lang w:val="en-GB"/>
        </w:rPr>
      </w:pPr>
      <w:r w:rsidRPr="004815A0">
        <w:rPr>
          <w:lang w:val="en-GB"/>
        </w:rPr>
        <w:t xml:space="preserve">The team opted for a histogram gradient boosting model to assess the effect of heat waves and droughts on agricultural and manufacturing production. Their model provides good nowcasting prediction for agriculture and manufacturing, with an out-of-sample R-squared </w:t>
      </w:r>
      <w:proofErr w:type="spellStart"/>
      <w:r w:rsidRPr="004815A0">
        <w:rPr>
          <w:lang w:val="en-GB"/>
        </w:rPr>
        <w:t>of</w:t>
      </w:r>
      <w:proofErr w:type="spellEnd"/>
      <w:r w:rsidRPr="004815A0">
        <w:rPr>
          <w:lang w:val="en-GB"/>
        </w:rPr>
        <w:t xml:space="preserve"> respectively 85% and 83%. For both sectors, the results are primarily driven by the economic variables (GDP, Employment) used as macroeconomic controls and followed by the climate variables.</w:t>
      </w:r>
    </w:p>
    <w:p w14:paraId="4799CE14" w14:textId="77777777" w:rsidR="00B840DC" w:rsidRPr="004815A0" w:rsidRDefault="002164CF">
      <w:pPr>
        <w:rPr>
          <w:lang w:val="en-GB"/>
        </w:rPr>
      </w:pPr>
      <w:r w:rsidRPr="004815A0">
        <w:rPr>
          <w:lang w:val="en-GB"/>
        </w:rPr>
        <w:t xml:space="preserve">In agriculture, they found that an increase in urbanization, the number of heat waves, the FAPAR dispersion, droughts (short-term and long-term, mild moderate and severe) associated with a heat wave and a low flow long-term average reduce agricultural production. </w:t>
      </w:r>
    </w:p>
    <w:p w14:paraId="7283ACDB" w14:textId="77777777" w:rsidR="00B840DC" w:rsidRPr="004815A0" w:rsidRDefault="002164CF">
      <w:pPr>
        <w:rPr>
          <w:lang w:val="en-GB"/>
        </w:rPr>
      </w:pPr>
      <w:r w:rsidRPr="004815A0">
        <w:rPr>
          <w:lang w:val="en-GB"/>
        </w:rPr>
        <w:t xml:space="preserve">For manufacturing, highly urbanized area, an increase in the median soil moisture anomalies, an increase in the long-term low flow severity, a heatwave associated Mild (Moderate) and long-term (short-term) droughts and a higher dispersion of the FAPAR tend to decrease manufacturing production. It should be kept in mind that external factors in manufacturing could not be controlled for, and that results for this </w:t>
      </w:r>
      <w:proofErr w:type="gramStart"/>
      <w:r w:rsidRPr="004815A0">
        <w:rPr>
          <w:lang w:val="en-GB"/>
        </w:rPr>
        <w:t>particular sector</w:t>
      </w:r>
      <w:proofErr w:type="gramEnd"/>
      <w:r w:rsidRPr="004815A0">
        <w:rPr>
          <w:lang w:val="en-GB"/>
        </w:rPr>
        <w:t xml:space="preserve"> should be cautiously </w:t>
      </w:r>
      <w:r w:rsidRPr="004815A0">
        <w:rPr>
          <w:lang w:val="en-GB"/>
        </w:rPr>
        <w:lastRenderedPageBreak/>
        <w:t>considered as the effect of climate is more indirect than for agriculture.</w:t>
      </w:r>
    </w:p>
    <w:sectPr w:rsidR="00B840DC" w:rsidRPr="004815A0">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284"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D96CE" w14:textId="77777777" w:rsidR="004A589C" w:rsidRDefault="004A589C">
      <w:pPr>
        <w:spacing w:before="0" w:line="240" w:lineRule="auto"/>
      </w:pPr>
      <w:r>
        <w:separator/>
      </w:r>
    </w:p>
  </w:endnote>
  <w:endnote w:type="continuationSeparator" w:id="0">
    <w:p w14:paraId="49E166EC" w14:textId="77777777" w:rsidR="004A589C" w:rsidRDefault="004A589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ill Sans MT">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D3186" w14:textId="77777777" w:rsidR="00B840DC" w:rsidRDefault="00B840DC">
    <w:pPr>
      <w:pBdr>
        <w:top w:val="nil"/>
        <w:left w:val="nil"/>
        <w:bottom w:val="nil"/>
        <w:right w:val="nil"/>
        <w:between w:val="nil"/>
      </w:pBdr>
      <w:tabs>
        <w:tab w:val="center" w:pos="4680"/>
        <w:tab w:val="right" w:pos="9360"/>
      </w:tabs>
      <w:spacing w:before="0"/>
      <w:rPr>
        <w:color w:val="000000"/>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24A68" w14:textId="77777777" w:rsidR="00B840DC" w:rsidRDefault="00B840DC">
    <w:pPr>
      <w:pBdr>
        <w:top w:val="nil"/>
        <w:left w:val="nil"/>
        <w:bottom w:val="nil"/>
        <w:right w:val="nil"/>
        <w:between w:val="nil"/>
      </w:pBdr>
      <w:tabs>
        <w:tab w:val="center" w:pos="4680"/>
        <w:tab w:val="right" w:pos="9360"/>
      </w:tabs>
      <w:spacing w:before="0"/>
      <w:rPr>
        <w:color w:val="000000"/>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DD083" w14:textId="77777777" w:rsidR="00B840DC" w:rsidRDefault="00B840D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A9FFD" w14:textId="77777777" w:rsidR="004A589C" w:rsidRDefault="004A589C">
      <w:pPr>
        <w:spacing w:before="0" w:line="240" w:lineRule="auto"/>
      </w:pPr>
      <w:r>
        <w:separator/>
      </w:r>
    </w:p>
  </w:footnote>
  <w:footnote w:type="continuationSeparator" w:id="0">
    <w:p w14:paraId="1BC10837" w14:textId="77777777" w:rsidR="004A589C" w:rsidRDefault="004A589C">
      <w:pPr>
        <w:spacing w:before="0" w:line="240" w:lineRule="auto"/>
      </w:pPr>
      <w:r>
        <w:continuationSeparator/>
      </w:r>
    </w:p>
  </w:footnote>
  <w:footnote w:id="1">
    <w:p w14:paraId="2A3100FE" w14:textId="77777777" w:rsidR="00B840DC" w:rsidRPr="00847B80" w:rsidRDefault="002164CF">
      <w:pPr>
        <w:rPr>
          <w:sz w:val="18"/>
          <w:szCs w:val="18"/>
          <w:lang w:val="en-GB"/>
        </w:rPr>
      </w:pPr>
      <w:r>
        <w:rPr>
          <w:rStyle w:val="FootnoteReference"/>
        </w:rPr>
        <w:footnoteRef/>
      </w:r>
      <w:r w:rsidRPr="00847B80">
        <w:rPr>
          <w:sz w:val="20"/>
          <w:szCs w:val="20"/>
          <w:lang w:val="en-GB"/>
        </w:rPr>
        <w:t>NACE A and C according to the European statistical classification of economic activities.</w:t>
      </w:r>
    </w:p>
  </w:footnote>
  <w:footnote w:id="2">
    <w:p w14:paraId="34FFE578" w14:textId="77777777" w:rsidR="00B840DC" w:rsidRDefault="002164CF">
      <w:pPr>
        <w:pBdr>
          <w:top w:val="nil"/>
          <w:left w:val="nil"/>
          <w:bottom w:val="nil"/>
          <w:right w:val="nil"/>
          <w:between w:val="nil"/>
        </w:pBdr>
        <w:spacing w:before="0" w:line="240" w:lineRule="auto"/>
        <w:rPr>
          <w:rFonts w:ascii="Times New Roman" w:eastAsia="Times New Roman" w:hAnsi="Times New Roman" w:cs="Times New Roman"/>
          <w:color w:val="000000"/>
          <w:sz w:val="16"/>
          <w:szCs w:val="16"/>
        </w:rPr>
      </w:pPr>
      <w:r>
        <w:rPr>
          <w:rStyle w:val="FootnoteReference"/>
        </w:rPr>
        <w:footnoteRef/>
      </w:r>
      <w:r w:rsidRPr="00847B80">
        <w:rPr>
          <w:rFonts w:ascii="Times New Roman" w:eastAsia="Times New Roman" w:hAnsi="Times New Roman" w:cs="Times New Roman"/>
          <w:color w:val="000000"/>
          <w:sz w:val="16"/>
          <w:szCs w:val="16"/>
          <w:lang w:val="en-GB"/>
        </w:rPr>
        <w:t xml:space="preserve"> Summer long-term average in Luxembourg is based on the period </w:t>
      </w:r>
      <w:proofErr w:type="gramStart"/>
      <w:r w:rsidRPr="00847B80">
        <w:rPr>
          <w:rFonts w:ascii="Times New Roman" w:eastAsia="Times New Roman" w:hAnsi="Times New Roman" w:cs="Times New Roman"/>
          <w:color w:val="000000"/>
          <w:sz w:val="16"/>
          <w:szCs w:val="16"/>
          <w:lang w:val="en-GB"/>
        </w:rPr>
        <w:t>1991-2020, and</w:t>
      </w:r>
      <w:proofErr w:type="gramEnd"/>
      <w:r w:rsidRPr="00847B80">
        <w:rPr>
          <w:rFonts w:ascii="Times New Roman" w:eastAsia="Times New Roman" w:hAnsi="Times New Roman" w:cs="Times New Roman"/>
          <w:color w:val="000000"/>
          <w:sz w:val="16"/>
          <w:szCs w:val="16"/>
          <w:lang w:val="en-GB"/>
        </w:rPr>
        <w:t xml:space="preserve"> computed by </w:t>
      </w:r>
      <w:proofErr w:type="spellStart"/>
      <w:r w:rsidRPr="00847B80">
        <w:rPr>
          <w:rFonts w:ascii="Times New Roman" w:eastAsia="Times New Roman" w:hAnsi="Times New Roman" w:cs="Times New Roman"/>
          <w:color w:val="000000"/>
          <w:sz w:val="16"/>
          <w:szCs w:val="16"/>
          <w:lang w:val="en-GB"/>
        </w:rPr>
        <w:t>MeteoLux</w:t>
      </w:r>
      <w:proofErr w:type="spellEnd"/>
      <w:r w:rsidRPr="00847B80">
        <w:rPr>
          <w:rFonts w:ascii="Times New Roman" w:eastAsia="Times New Roman" w:hAnsi="Times New Roman" w:cs="Times New Roman"/>
          <w:color w:val="000000"/>
          <w:sz w:val="16"/>
          <w:szCs w:val="16"/>
          <w:lang w:val="en-GB"/>
        </w:rPr>
        <w:t xml:space="preserve">. </w:t>
      </w:r>
      <w:hyperlink r:id="rId1" w:anchor=":~:text=In%202022%2C%2068%20summer%20days,days%20it%20is%207.4%20days.&amp;text=The%20winter%202021%2F2022%20showed,K%20from%20the%20climate%20normal">
        <w:r>
          <w:rPr>
            <w:rFonts w:ascii="Times New Roman" w:eastAsia="Times New Roman" w:hAnsi="Times New Roman" w:cs="Times New Roman"/>
            <w:color w:val="0000FF"/>
            <w:sz w:val="16"/>
            <w:szCs w:val="16"/>
            <w:u w:val="single"/>
          </w:rPr>
          <w:t>https://www.meteolux.lu/fr/filedownload/565/2022_informations_sur_le_climat_au_luxembourg_en_2022_anglais.pdf/type/pdf#:~:text=In%202022%2C%2068%20summer%20days,days%20it%20is%207.4%20days.&amp;text=The%20winter%202021%2F2022%20showed,K%20from%20the%20climate%20normal</w:t>
        </w:r>
      </w:hyperlink>
      <w:r>
        <w:rPr>
          <w:rFonts w:ascii="Times New Roman" w:eastAsia="Times New Roman" w:hAnsi="Times New Roman" w:cs="Times New Roman"/>
          <w:color w:val="000000"/>
          <w:sz w:val="16"/>
          <w:szCs w:val="16"/>
        </w:rPr>
        <w:t xml:space="preserve">. </w:t>
      </w:r>
    </w:p>
  </w:footnote>
  <w:footnote w:id="3">
    <w:p w14:paraId="5812F439" w14:textId="77777777" w:rsidR="00B840DC" w:rsidRPr="00847B80" w:rsidRDefault="002164CF">
      <w:pPr>
        <w:spacing w:line="240" w:lineRule="auto"/>
        <w:rPr>
          <w:lang w:val="en-GB"/>
        </w:rPr>
      </w:pPr>
      <w:r>
        <w:rPr>
          <w:rStyle w:val="FootnoteReference"/>
        </w:rPr>
        <w:footnoteRef/>
      </w:r>
      <w:r w:rsidRPr="00847B80">
        <w:rPr>
          <w:rFonts w:ascii="Times New Roman" w:eastAsia="Times New Roman" w:hAnsi="Times New Roman" w:cs="Times New Roman"/>
          <w:sz w:val="20"/>
          <w:szCs w:val="20"/>
          <w:lang w:val="en-GB"/>
        </w:rPr>
        <w:t xml:space="preserve"> The methodology is developed by </w:t>
      </w:r>
      <w:proofErr w:type="spellStart"/>
      <w:r w:rsidRPr="00847B80">
        <w:rPr>
          <w:rFonts w:ascii="Times New Roman" w:eastAsia="Times New Roman" w:hAnsi="Times New Roman" w:cs="Times New Roman"/>
          <w:sz w:val="20"/>
          <w:szCs w:val="20"/>
          <w:lang w:val="en-GB"/>
        </w:rPr>
        <w:t>Lavaysse</w:t>
      </w:r>
      <w:proofErr w:type="spellEnd"/>
      <w:r w:rsidRPr="00847B80">
        <w:rPr>
          <w:rFonts w:ascii="Times New Roman" w:eastAsia="Times New Roman" w:hAnsi="Times New Roman" w:cs="Times New Roman"/>
          <w:sz w:val="20"/>
          <w:szCs w:val="20"/>
          <w:lang w:val="en-GB"/>
        </w:rPr>
        <w:t xml:space="preserve"> et al. (2018) is based on the persistence for at least three consecutive days of events with both daily minimum and maximum temperatures (</w:t>
      </w:r>
      <w:proofErr w:type="spellStart"/>
      <w:r w:rsidRPr="00847B80">
        <w:rPr>
          <w:rFonts w:ascii="Times New Roman" w:eastAsia="Times New Roman" w:hAnsi="Times New Roman" w:cs="Times New Roman"/>
          <w:sz w:val="20"/>
          <w:szCs w:val="20"/>
          <w:lang w:val="en-GB"/>
        </w:rPr>
        <w:t>Tmin</w:t>
      </w:r>
      <w:proofErr w:type="spellEnd"/>
      <w:r w:rsidRPr="00847B80">
        <w:rPr>
          <w:rFonts w:ascii="Times New Roman" w:eastAsia="Times New Roman" w:hAnsi="Times New Roman" w:cs="Times New Roman"/>
          <w:sz w:val="20"/>
          <w:szCs w:val="20"/>
          <w:lang w:val="en-GB"/>
        </w:rPr>
        <w:t xml:space="preserve"> and </w:t>
      </w:r>
      <w:proofErr w:type="spellStart"/>
      <w:r w:rsidRPr="00847B80">
        <w:rPr>
          <w:rFonts w:ascii="Times New Roman" w:eastAsia="Times New Roman" w:hAnsi="Times New Roman" w:cs="Times New Roman"/>
          <w:sz w:val="20"/>
          <w:szCs w:val="20"/>
          <w:lang w:val="en-GB"/>
        </w:rPr>
        <w:t>Tmax</w:t>
      </w:r>
      <w:proofErr w:type="spellEnd"/>
      <w:r w:rsidRPr="00847B80">
        <w:rPr>
          <w:rFonts w:ascii="Times New Roman" w:eastAsia="Times New Roman" w:hAnsi="Times New Roman" w:cs="Times New Roman"/>
          <w:sz w:val="20"/>
          <w:szCs w:val="20"/>
          <w:lang w:val="en-GB"/>
        </w:rPr>
        <w:t>) above the 90th percentile daily threshold.</w:t>
      </w:r>
    </w:p>
  </w:footnote>
  <w:footnote w:id="4">
    <w:p w14:paraId="6A30216C" w14:textId="77777777" w:rsidR="00B840DC" w:rsidRPr="00847B80" w:rsidRDefault="002164CF">
      <w:pPr>
        <w:pBdr>
          <w:top w:val="nil"/>
          <w:left w:val="nil"/>
          <w:bottom w:val="nil"/>
          <w:right w:val="nil"/>
          <w:between w:val="nil"/>
        </w:pBdr>
        <w:spacing w:before="0" w:line="240" w:lineRule="auto"/>
        <w:rPr>
          <w:color w:val="000000"/>
          <w:sz w:val="16"/>
          <w:szCs w:val="16"/>
          <w:lang w:val="en-GB"/>
        </w:rPr>
      </w:pPr>
      <w:r>
        <w:rPr>
          <w:rStyle w:val="FootnoteReference"/>
        </w:rPr>
        <w:footnoteRef/>
      </w:r>
      <w:r w:rsidRPr="00847B80">
        <w:rPr>
          <w:color w:val="000000"/>
          <w:sz w:val="16"/>
          <w:szCs w:val="16"/>
          <w:lang w:val="en-GB"/>
        </w:rPr>
        <w:t xml:space="preserve"> The estimator bins input samples into integer-valued bins, reducing splitting points and utilizing integer-based data structures (</w:t>
      </w:r>
      <w:r w:rsidRPr="00847B80">
        <w:rPr>
          <w:b/>
          <w:color w:val="000000"/>
          <w:sz w:val="16"/>
          <w:szCs w:val="16"/>
          <w:lang w:val="en-GB"/>
        </w:rPr>
        <w:t>Binning</w:t>
      </w:r>
      <w:r w:rsidRPr="00847B80">
        <w:rPr>
          <w:color w:val="000000"/>
          <w:sz w:val="16"/>
          <w:szCs w:val="16"/>
          <w:lang w:val="en-GB"/>
        </w:rPr>
        <w:t>), builds an additive model in a forward stage-wise fashion, optimizing differentiable loss functions (</w:t>
      </w:r>
      <w:r w:rsidRPr="00847B80">
        <w:rPr>
          <w:b/>
          <w:color w:val="000000"/>
          <w:sz w:val="16"/>
          <w:szCs w:val="16"/>
          <w:lang w:val="en-GB"/>
        </w:rPr>
        <w:t>Boosting</w:t>
      </w:r>
      <w:r w:rsidRPr="00847B80">
        <w:rPr>
          <w:color w:val="000000"/>
          <w:sz w:val="16"/>
          <w:szCs w:val="16"/>
          <w:lang w:val="en-GB"/>
        </w:rPr>
        <w:t>), includes an L2 regularization parameter to prevent overfitting by adding a complexity penalty to the loss function (</w:t>
      </w:r>
      <w:r w:rsidRPr="00847B80">
        <w:rPr>
          <w:b/>
          <w:color w:val="000000"/>
          <w:sz w:val="16"/>
          <w:szCs w:val="16"/>
          <w:lang w:val="en-GB"/>
        </w:rPr>
        <w:t>Regularization</w:t>
      </w:r>
      <w:r w:rsidRPr="00847B80">
        <w:rPr>
          <w:color w:val="000000"/>
          <w:sz w:val="16"/>
          <w:szCs w:val="16"/>
          <w:lang w:val="en-GB"/>
        </w:rPr>
        <w:t>), supports early stopping to prevent overfitting by halting training if the model's performance on a validation set doesn't improve for a specified number of iterations (</w:t>
      </w:r>
      <w:r w:rsidRPr="00847B80">
        <w:rPr>
          <w:b/>
          <w:color w:val="000000"/>
          <w:sz w:val="16"/>
          <w:szCs w:val="16"/>
          <w:lang w:val="en-GB"/>
        </w:rPr>
        <w:t>Early stopping</w:t>
      </w:r>
      <w:r w:rsidRPr="00847B80">
        <w:rPr>
          <w:color w:val="000000"/>
          <w:sz w:val="16"/>
          <w:szCs w:val="16"/>
          <w:lang w:val="en-GB"/>
        </w:rPr>
        <w:t>).</w:t>
      </w:r>
    </w:p>
  </w:footnote>
  <w:footnote w:id="5">
    <w:p w14:paraId="537F0998" w14:textId="77777777" w:rsidR="00B840DC" w:rsidRPr="00847B80" w:rsidRDefault="002164CF">
      <w:pPr>
        <w:pBdr>
          <w:top w:val="nil"/>
          <w:left w:val="nil"/>
          <w:bottom w:val="nil"/>
          <w:right w:val="nil"/>
          <w:between w:val="nil"/>
        </w:pBdr>
        <w:spacing w:before="0" w:line="240" w:lineRule="auto"/>
        <w:rPr>
          <w:color w:val="000000"/>
          <w:sz w:val="16"/>
          <w:szCs w:val="16"/>
          <w:lang w:val="en-GB"/>
        </w:rPr>
      </w:pPr>
      <w:r>
        <w:rPr>
          <w:rStyle w:val="FootnoteReference"/>
        </w:rPr>
        <w:footnoteRef/>
      </w:r>
      <w:r w:rsidRPr="00847B80">
        <w:rPr>
          <w:color w:val="000000"/>
          <w:sz w:val="16"/>
          <w:szCs w:val="16"/>
          <w:lang w:val="en-GB"/>
        </w:rPr>
        <w:t xml:space="preserve"> The search strategy starts evaluating all the candidates with a small </w:t>
      </w:r>
      <w:proofErr w:type="gramStart"/>
      <w:r w:rsidRPr="00847B80">
        <w:rPr>
          <w:color w:val="000000"/>
          <w:sz w:val="16"/>
          <w:szCs w:val="16"/>
          <w:lang w:val="en-GB"/>
        </w:rPr>
        <w:t>amount</w:t>
      </w:r>
      <w:proofErr w:type="gramEnd"/>
      <w:r w:rsidRPr="00847B80">
        <w:rPr>
          <w:color w:val="000000"/>
          <w:sz w:val="16"/>
          <w:szCs w:val="16"/>
          <w:lang w:val="en-GB"/>
        </w:rPr>
        <w:t xml:space="preserve"> of resources and iteratively selects the best candidates, using more and more resources.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F488F" w14:textId="77777777" w:rsidR="00B840DC" w:rsidRDefault="00B840DC">
    <w:pPr>
      <w:pBdr>
        <w:top w:val="nil"/>
        <w:left w:val="nil"/>
        <w:bottom w:val="nil"/>
        <w:right w:val="nil"/>
        <w:between w:val="nil"/>
      </w:pBdr>
      <w:tabs>
        <w:tab w:val="center" w:pos="4680"/>
        <w:tab w:val="right" w:pos="9360"/>
      </w:tabs>
      <w:spacing w:before="0"/>
      <w:rPr>
        <w:color w:val="000000"/>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9564A" w14:textId="77777777" w:rsidR="00B840DC" w:rsidRDefault="00B840DC">
    <w:pPr>
      <w:pBdr>
        <w:top w:val="nil"/>
        <w:left w:val="nil"/>
        <w:bottom w:val="nil"/>
        <w:right w:val="nil"/>
        <w:between w:val="nil"/>
      </w:pBdr>
      <w:tabs>
        <w:tab w:val="center" w:pos="4680"/>
        <w:tab w:val="right" w:pos="9360"/>
      </w:tabs>
      <w:spacing w:before="0"/>
      <w:jc w:val="right"/>
      <w:rPr>
        <w:color w:val="000000"/>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26235" w14:textId="77777777" w:rsidR="00B840DC" w:rsidRDefault="00B840DC">
    <w:pPr>
      <w:pBdr>
        <w:top w:val="nil"/>
        <w:left w:val="nil"/>
        <w:bottom w:val="nil"/>
        <w:right w:val="nil"/>
        <w:between w:val="nil"/>
      </w:pBdr>
      <w:tabs>
        <w:tab w:val="center" w:pos="4680"/>
        <w:tab w:val="right" w:pos="9360"/>
        <w:tab w:val="left" w:pos="1795"/>
      </w:tabs>
      <w:spacing w:before="0"/>
      <w:jc w:val="center"/>
      <w:rPr>
        <w:color w:val="000000"/>
        <w:szCs w:val="22"/>
      </w:rPr>
    </w:pPr>
  </w:p>
  <w:p w14:paraId="4E1E8F0D" w14:textId="77777777" w:rsidR="00B840DC" w:rsidRDefault="00B840DC"/>
  <w:p w14:paraId="0562D30C" w14:textId="77777777" w:rsidR="00B840DC" w:rsidRDefault="00B840D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81AD7"/>
    <w:multiLevelType w:val="multilevel"/>
    <w:tmpl w:val="FFFFFFFF"/>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489213A"/>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91135065">
    <w:abstractNumId w:val="1"/>
  </w:num>
  <w:num w:numId="2" w16cid:durableId="1445685244">
    <w:abstractNumId w:val="0"/>
  </w:num>
  <w:num w:numId="3" w16cid:durableId="1873053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009042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760281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500744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0DC"/>
    <w:rsid w:val="00006ECD"/>
    <w:rsid w:val="00032DDD"/>
    <w:rsid w:val="000418C2"/>
    <w:rsid w:val="00114E8C"/>
    <w:rsid w:val="001433AC"/>
    <w:rsid w:val="001714D2"/>
    <w:rsid w:val="002164CF"/>
    <w:rsid w:val="002236CB"/>
    <w:rsid w:val="002A1901"/>
    <w:rsid w:val="002A72DD"/>
    <w:rsid w:val="002F0A15"/>
    <w:rsid w:val="0034499E"/>
    <w:rsid w:val="00350CF4"/>
    <w:rsid w:val="003973C7"/>
    <w:rsid w:val="003E056D"/>
    <w:rsid w:val="003E290D"/>
    <w:rsid w:val="00402261"/>
    <w:rsid w:val="00424860"/>
    <w:rsid w:val="00454CBA"/>
    <w:rsid w:val="004815A0"/>
    <w:rsid w:val="004A589C"/>
    <w:rsid w:val="004B00FE"/>
    <w:rsid w:val="0051347D"/>
    <w:rsid w:val="00537086"/>
    <w:rsid w:val="00551B55"/>
    <w:rsid w:val="0058171D"/>
    <w:rsid w:val="005A388C"/>
    <w:rsid w:val="00640C9C"/>
    <w:rsid w:val="006535C8"/>
    <w:rsid w:val="00655664"/>
    <w:rsid w:val="00657395"/>
    <w:rsid w:val="00695624"/>
    <w:rsid w:val="00706AC5"/>
    <w:rsid w:val="0077490E"/>
    <w:rsid w:val="00785B0A"/>
    <w:rsid w:val="007B4769"/>
    <w:rsid w:val="007E4B9F"/>
    <w:rsid w:val="00847B80"/>
    <w:rsid w:val="008561AC"/>
    <w:rsid w:val="008A5974"/>
    <w:rsid w:val="008B70D7"/>
    <w:rsid w:val="008E3E26"/>
    <w:rsid w:val="008E63EB"/>
    <w:rsid w:val="009064DB"/>
    <w:rsid w:val="00954860"/>
    <w:rsid w:val="009B0D0D"/>
    <w:rsid w:val="009D1500"/>
    <w:rsid w:val="00A005FC"/>
    <w:rsid w:val="00A04CCE"/>
    <w:rsid w:val="00A2261E"/>
    <w:rsid w:val="00A2676D"/>
    <w:rsid w:val="00A4307F"/>
    <w:rsid w:val="00AB683A"/>
    <w:rsid w:val="00AE7608"/>
    <w:rsid w:val="00AF3880"/>
    <w:rsid w:val="00B55FDB"/>
    <w:rsid w:val="00B840DC"/>
    <w:rsid w:val="00BD0E2C"/>
    <w:rsid w:val="00BD7719"/>
    <w:rsid w:val="00BF1514"/>
    <w:rsid w:val="00C04D63"/>
    <w:rsid w:val="00C1116A"/>
    <w:rsid w:val="00C5329A"/>
    <w:rsid w:val="00C93330"/>
    <w:rsid w:val="00CF1702"/>
    <w:rsid w:val="00D47CC5"/>
    <w:rsid w:val="00D9459A"/>
    <w:rsid w:val="00DC4E12"/>
    <w:rsid w:val="00DE0BBE"/>
    <w:rsid w:val="00E338C7"/>
    <w:rsid w:val="00E81DBD"/>
    <w:rsid w:val="00F26239"/>
    <w:rsid w:val="00F7724E"/>
    <w:rsid w:val="00FB2A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F1035"/>
  <w15:docId w15:val="{76E6F357-ACE9-BC4E-9C68-5352F95E7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s-ES" w:bidi="ar-SA"/>
      </w:rPr>
    </w:rPrDefault>
    <w:pPrDefault>
      <w:pPr>
        <w:widowControl w:val="0"/>
        <w:spacing w:before="6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B08"/>
    <w:rPr>
      <w:bCs/>
      <w:szCs w:val="32"/>
      <w:lang w:val="fr-LU"/>
    </w:rPr>
  </w:style>
  <w:style w:type="paragraph" w:styleId="Heading1">
    <w:name w:val="heading 1"/>
    <w:basedOn w:val="ListParagraph"/>
    <w:next w:val="Normal"/>
    <w:link w:val="Heading1Char"/>
    <w:uiPriority w:val="9"/>
    <w:qFormat/>
    <w:rsid w:val="0087087C"/>
    <w:pPr>
      <w:numPr>
        <w:numId w:val="2"/>
      </w:numPr>
      <w:ind w:left="425" w:hanging="425"/>
      <w:outlineLvl w:val="0"/>
    </w:pPr>
    <w:rPr>
      <w:b/>
    </w:rPr>
  </w:style>
  <w:style w:type="paragraph" w:styleId="Heading2">
    <w:name w:val="heading 2"/>
    <w:basedOn w:val="ListParagraph"/>
    <w:next w:val="Normal"/>
    <w:link w:val="Heading2Char"/>
    <w:uiPriority w:val="9"/>
    <w:unhideWhenUsed/>
    <w:qFormat/>
    <w:rsid w:val="0087087C"/>
    <w:pPr>
      <w:numPr>
        <w:ilvl w:val="1"/>
        <w:numId w:val="2"/>
      </w:numPr>
      <w:ind w:left="766" w:hanging="624"/>
      <w:outlineLvl w:val="1"/>
    </w:pPr>
    <w:rPr>
      <w:b/>
    </w:rPr>
  </w:style>
  <w:style w:type="paragraph" w:styleId="Heading3">
    <w:name w:val="heading 3"/>
    <w:basedOn w:val="ListParagraph"/>
    <w:next w:val="Normal"/>
    <w:link w:val="Heading3Char"/>
    <w:uiPriority w:val="9"/>
    <w:semiHidden/>
    <w:unhideWhenUsed/>
    <w:qFormat/>
    <w:rsid w:val="0087087C"/>
    <w:pPr>
      <w:numPr>
        <w:ilvl w:val="2"/>
        <w:numId w:val="2"/>
      </w:numPr>
      <w:ind w:left="1078" w:hanging="794"/>
      <w:outlineLvl w:val="2"/>
    </w:pPr>
    <w:rPr>
      <w:b/>
    </w:rPr>
  </w:style>
  <w:style w:type="paragraph" w:styleId="Heading4">
    <w:name w:val="heading 4"/>
    <w:basedOn w:val="ListParagraph"/>
    <w:next w:val="Normal"/>
    <w:link w:val="Heading4Char"/>
    <w:uiPriority w:val="9"/>
    <w:semiHidden/>
    <w:unhideWhenUsed/>
    <w:qFormat/>
    <w:rsid w:val="0087087C"/>
    <w:pPr>
      <w:numPr>
        <w:ilvl w:val="3"/>
        <w:numId w:val="2"/>
      </w:numPr>
      <w:ind w:left="1389" w:hanging="964"/>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link w:val="TitleChar"/>
    <w:uiPriority w:val="10"/>
    <w:qFormat/>
    <w:rsid w:val="004E5B61"/>
    <w:pPr>
      <w:jc w:val="center"/>
    </w:pPr>
    <w:rPr>
      <w:b/>
      <w:bCs w:val="0"/>
      <w:sz w:val="32"/>
    </w:rPr>
  </w:style>
  <w:style w:type="character" w:styleId="PlaceholderText">
    <w:name w:val="Placeholder Text"/>
    <w:basedOn w:val="DefaultParagraphFont"/>
    <w:uiPriority w:val="99"/>
    <w:semiHidden/>
    <w:rsid w:val="00CD56D8"/>
    <w:rPr>
      <w:color w:val="808080"/>
    </w:rPr>
  </w:style>
  <w:style w:type="paragraph" w:styleId="BalloonText">
    <w:name w:val="Balloon Text"/>
    <w:basedOn w:val="Normal"/>
    <w:link w:val="BalloonTextChar"/>
    <w:uiPriority w:val="99"/>
    <w:semiHidden/>
    <w:unhideWhenUsed/>
    <w:rsid w:val="00CD56D8"/>
    <w:pPr>
      <w:spacing w:before="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CD56D8"/>
    <w:rPr>
      <w:rFonts w:ascii="Tahoma" w:hAnsi="Tahoma" w:cs="Tahoma"/>
      <w:sz w:val="16"/>
      <w:szCs w:val="16"/>
      <w:lang w:val="fr-LU"/>
    </w:rPr>
  </w:style>
  <w:style w:type="paragraph" w:customStyle="1" w:styleId="HeadingLabel">
    <w:name w:val="Heading Label"/>
    <w:basedOn w:val="Normal"/>
    <w:rsid w:val="00CD56D8"/>
    <w:rPr>
      <w:color w:val="5295B7"/>
      <w:sz w:val="18"/>
    </w:rPr>
  </w:style>
  <w:style w:type="character" w:customStyle="1" w:styleId="TitleChar">
    <w:name w:val="Title Char"/>
    <w:basedOn w:val="DefaultParagraphFont"/>
    <w:link w:val="Title"/>
    <w:rsid w:val="00CD56D8"/>
    <w:rPr>
      <w:rFonts w:ascii="Gill Sans MT" w:hAnsi="Gill Sans MT" w:cs="Arial"/>
      <w:b/>
      <w:bCs/>
      <w:sz w:val="32"/>
      <w:szCs w:val="32"/>
      <w:lang w:val="fr-FR"/>
    </w:rPr>
  </w:style>
  <w:style w:type="paragraph" w:styleId="NoteHeading">
    <w:name w:val="Note Heading"/>
    <w:basedOn w:val="Normal"/>
    <w:next w:val="Normal"/>
    <w:link w:val="NoteHeadingChar"/>
    <w:semiHidden/>
    <w:rsid w:val="00CD56D8"/>
  </w:style>
  <w:style w:type="character" w:customStyle="1" w:styleId="NoteHeadingChar">
    <w:name w:val="Note Heading Char"/>
    <w:basedOn w:val="DefaultParagraphFont"/>
    <w:link w:val="NoteHeading"/>
    <w:semiHidden/>
    <w:rsid w:val="00CD56D8"/>
    <w:rPr>
      <w:rFonts w:ascii="Gill Sans MT" w:eastAsia="Times New Roman" w:hAnsi="Gill Sans MT" w:cs="Times New Roman"/>
      <w:szCs w:val="24"/>
      <w:lang w:val="fr-FR"/>
    </w:rPr>
  </w:style>
  <w:style w:type="paragraph" w:styleId="Header">
    <w:name w:val="header"/>
    <w:basedOn w:val="Normal"/>
    <w:link w:val="HeaderChar"/>
    <w:uiPriority w:val="99"/>
    <w:unhideWhenUsed/>
    <w:rsid w:val="00413B7C"/>
    <w:pPr>
      <w:tabs>
        <w:tab w:val="center" w:pos="4680"/>
        <w:tab w:val="right" w:pos="9360"/>
      </w:tabs>
      <w:spacing w:before="0"/>
    </w:pPr>
  </w:style>
  <w:style w:type="character" w:customStyle="1" w:styleId="HeaderChar">
    <w:name w:val="Header Char"/>
    <w:basedOn w:val="DefaultParagraphFont"/>
    <w:link w:val="Header"/>
    <w:uiPriority w:val="99"/>
    <w:rsid w:val="00413B7C"/>
    <w:rPr>
      <w:rFonts w:ascii="Gill Sans MT" w:eastAsia="Times New Roman" w:hAnsi="Gill Sans MT" w:cs="Times New Roman"/>
      <w:szCs w:val="24"/>
      <w:lang w:val="fr-FR"/>
    </w:rPr>
  </w:style>
  <w:style w:type="paragraph" w:styleId="Footer">
    <w:name w:val="footer"/>
    <w:basedOn w:val="Normal"/>
    <w:link w:val="FooterChar"/>
    <w:uiPriority w:val="99"/>
    <w:unhideWhenUsed/>
    <w:rsid w:val="00413B7C"/>
    <w:pPr>
      <w:tabs>
        <w:tab w:val="center" w:pos="4680"/>
        <w:tab w:val="right" w:pos="9360"/>
      </w:tabs>
      <w:spacing w:before="0"/>
    </w:pPr>
  </w:style>
  <w:style w:type="character" w:customStyle="1" w:styleId="FooterChar">
    <w:name w:val="Footer Char"/>
    <w:basedOn w:val="DefaultParagraphFont"/>
    <w:link w:val="Footer"/>
    <w:uiPriority w:val="99"/>
    <w:rsid w:val="00413B7C"/>
    <w:rPr>
      <w:rFonts w:ascii="Gill Sans MT" w:eastAsia="Times New Roman" w:hAnsi="Gill Sans MT" w:cs="Times New Roman"/>
      <w:szCs w:val="24"/>
      <w:lang w:val="fr-FR"/>
    </w:rPr>
  </w:style>
  <w:style w:type="paragraph" w:customStyle="1" w:styleId="LeftFooter">
    <w:name w:val="Left Footer"/>
    <w:basedOn w:val="Normal"/>
    <w:rsid w:val="00413B7C"/>
    <w:pPr>
      <w:spacing w:after="60"/>
    </w:pPr>
  </w:style>
  <w:style w:type="paragraph" w:customStyle="1" w:styleId="RightFooter">
    <w:name w:val="Right Footer"/>
    <w:basedOn w:val="Normal"/>
    <w:rsid w:val="00413B7C"/>
    <w:pPr>
      <w:spacing w:after="60"/>
      <w:jc w:val="right"/>
    </w:pPr>
  </w:style>
  <w:style w:type="character" w:styleId="PageNumber">
    <w:name w:val="page number"/>
    <w:basedOn w:val="DefaultParagraphFont"/>
    <w:semiHidden/>
    <w:rsid w:val="00413B7C"/>
  </w:style>
  <w:style w:type="character" w:customStyle="1" w:styleId="Heading1Char">
    <w:name w:val="Heading 1 Char"/>
    <w:basedOn w:val="DefaultParagraphFont"/>
    <w:link w:val="Heading1"/>
    <w:rsid w:val="0087087C"/>
    <w:rPr>
      <w:b/>
      <w:bCs/>
      <w:szCs w:val="32"/>
      <w:lang w:val="fr-LU"/>
    </w:rPr>
  </w:style>
  <w:style w:type="character" w:customStyle="1" w:styleId="Heading2Char">
    <w:name w:val="Heading 2 Char"/>
    <w:basedOn w:val="DefaultParagraphFont"/>
    <w:link w:val="Heading2"/>
    <w:rsid w:val="0087087C"/>
    <w:rPr>
      <w:b/>
      <w:bCs/>
      <w:szCs w:val="32"/>
      <w:lang w:val="fr-LU"/>
    </w:rPr>
  </w:style>
  <w:style w:type="character" w:customStyle="1" w:styleId="Heading3Char">
    <w:name w:val="Heading 3 Char"/>
    <w:basedOn w:val="DefaultParagraphFont"/>
    <w:link w:val="Heading3"/>
    <w:rsid w:val="0087087C"/>
    <w:rPr>
      <w:b/>
      <w:bCs/>
      <w:szCs w:val="32"/>
      <w:lang w:val="fr-LU"/>
    </w:rPr>
  </w:style>
  <w:style w:type="character" w:customStyle="1" w:styleId="Heading4Char">
    <w:name w:val="Heading 4 Char"/>
    <w:basedOn w:val="DefaultParagraphFont"/>
    <w:link w:val="Heading4"/>
    <w:rsid w:val="0087087C"/>
    <w:rPr>
      <w:b/>
      <w:bCs/>
      <w:szCs w:val="32"/>
      <w:lang w:val="fr-LU"/>
    </w:rPr>
  </w:style>
  <w:style w:type="paragraph" w:styleId="TOCHeading">
    <w:name w:val="TOC Heading"/>
    <w:basedOn w:val="Heading1"/>
    <w:next w:val="Normal"/>
    <w:uiPriority w:val="39"/>
    <w:unhideWhenUsed/>
    <w:qFormat/>
    <w:rsid w:val="004E5B61"/>
    <w:pPr>
      <w:keepLines/>
      <w:spacing w:before="480"/>
      <w:outlineLvl w:val="9"/>
    </w:pPr>
    <w:rPr>
      <w:rFonts w:asciiTheme="majorHAnsi" w:eastAsiaTheme="majorEastAsia" w:hAnsiTheme="majorHAnsi" w:cstheme="majorBidi"/>
      <w:color w:val="365F91" w:themeColor="accent1" w:themeShade="BF"/>
      <w:szCs w:val="28"/>
    </w:rPr>
  </w:style>
  <w:style w:type="paragraph" w:styleId="TOC1">
    <w:name w:val="toc 1"/>
    <w:basedOn w:val="Normal"/>
    <w:next w:val="Normal"/>
    <w:autoRedefine/>
    <w:uiPriority w:val="39"/>
    <w:unhideWhenUsed/>
    <w:qFormat/>
    <w:rsid w:val="00BC1344"/>
    <w:pPr>
      <w:tabs>
        <w:tab w:val="left" w:pos="567"/>
        <w:tab w:val="right" w:leader="dot" w:pos="9771"/>
      </w:tabs>
      <w:spacing w:after="60"/>
      <w:ind w:left="1134" w:hanging="1134"/>
    </w:pPr>
    <w:rPr>
      <w:bCs w:val="0"/>
      <w:sz w:val="20"/>
      <w:szCs w:val="20"/>
    </w:rPr>
  </w:style>
  <w:style w:type="paragraph" w:styleId="TOC2">
    <w:name w:val="toc 2"/>
    <w:basedOn w:val="Normal"/>
    <w:next w:val="Normal"/>
    <w:autoRedefine/>
    <w:uiPriority w:val="39"/>
    <w:unhideWhenUsed/>
    <w:qFormat/>
    <w:rsid w:val="00BC1344"/>
    <w:pPr>
      <w:tabs>
        <w:tab w:val="left" w:pos="1134"/>
        <w:tab w:val="right" w:leader="dot" w:pos="9771"/>
      </w:tabs>
      <w:spacing w:before="0"/>
      <w:ind w:left="426"/>
    </w:pPr>
    <w:rPr>
      <w:sz w:val="20"/>
      <w:szCs w:val="20"/>
    </w:rPr>
  </w:style>
  <w:style w:type="character" w:styleId="Hyperlink">
    <w:name w:val="Hyperlink"/>
    <w:basedOn w:val="DefaultParagraphFont"/>
    <w:uiPriority w:val="99"/>
    <w:unhideWhenUsed/>
    <w:rsid w:val="004E5B61"/>
    <w:rPr>
      <w:color w:val="0000FF" w:themeColor="hyperlink"/>
      <w:u w:val="single"/>
    </w:rPr>
  </w:style>
  <w:style w:type="paragraph" w:styleId="ListParagraph">
    <w:name w:val="List Paragraph"/>
    <w:basedOn w:val="Normal"/>
    <w:link w:val="ListParagraphChar"/>
    <w:uiPriority w:val="34"/>
    <w:qFormat/>
    <w:rsid w:val="00B27B9B"/>
    <w:pPr>
      <w:ind w:left="720"/>
      <w:contextualSpacing/>
    </w:pPr>
  </w:style>
  <w:style w:type="table" w:styleId="TableGrid">
    <w:name w:val="Table Grid"/>
    <w:basedOn w:val="TableNormal"/>
    <w:uiPriority w:val="39"/>
    <w:rsid w:val="00C60F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CL">
    <w:name w:val="BCL"/>
    <w:basedOn w:val="Heading1"/>
    <w:link w:val="BCLChar"/>
    <w:rsid w:val="0089669A"/>
    <w:pPr>
      <w:spacing w:before="120"/>
    </w:pPr>
  </w:style>
  <w:style w:type="paragraph" w:styleId="TOC3">
    <w:name w:val="toc 3"/>
    <w:basedOn w:val="Normal"/>
    <w:next w:val="Normal"/>
    <w:autoRedefine/>
    <w:uiPriority w:val="39"/>
    <w:unhideWhenUsed/>
    <w:qFormat/>
    <w:rsid w:val="00BC1344"/>
    <w:pPr>
      <w:tabs>
        <w:tab w:val="left" w:pos="1418"/>
        <w:tab w:val="right" w:leader="dot" w:pos="9771"/>
      </w:tabs>
      <w:spacing w:before="0"/>
      <w:ind w:left="567"/>
    </w:pPr>
    <w:rPr>
      <w:iCs/>
      <w:sz w:val="20"/>
      <w:szCs w:val="20"/>
    </w:rPr>
  </w:style>
  <w:style w:type="character" w:customStyle="1" w:styleId="ListParagraphChar">
    <w:name w:val="List Paragraph Char"/>
    <w:basedOn w:val="DefaultParagraphFont"/>
    <w:link w:val="ListParagraph"/>
    <w:uiPriority w:val="34"/>
    <w:rsid w:val="005F6172"/>
    <w:rPr>
      <w:rFonts w:ascii="Gill Sans MT" w:hAnsi="Gill Sans MT"/>
      <w:lang w:val="fr-FR"/>
    </w:rPr>
  </w:style>
  <w:style w:type="character" w:customStyle="1" w:styleId="BCLChar">
    <w:name w:val="BCL Char"/>
    <w:basedOn w:val="ListParagraphChar"/>
    <w:link w:val="BCL"/>
    <w:rsid w:val="0089669A"/>
    <w:rPr>
      <w:rFonts w:ascii="Gill Sans MT" w:hAnsi="Gill Sans MT"/>
      <w:b/>
      <w:bCs/>
      <w:szCs w:val="32"/>
      <w:lang w:val="fr-LU"/>
    </w:rPr>
  </w:style>
  <w:style w:type="numbering" w:customStyle="1" w:styleId="BCLliste">
    <w:name w:val="BCL_liste"/>
    <w:uiPriority w:val="99"/>
    <w:rsid w:val="00DA78B6"/>
  </w:style>
  <w:style w:type="paragraph" w:customStyle="1" w:styleId="BCL2">
    <w:name w:val="BCL2"/>
    <w:basedOn w:val="BCL"/>
    <w:next w:val="BCL"/>
    <w:link w:val="BCL2Char"/>
    <w:rsid w:val="0089669A"/>
    <w:pPr>
      <w:numPr>
        <w:numId w:val="0"/>
      </w:numPr>
      <w:tabs>
        <w:tab w:val="num" w:pos="720"/>
      </w:tabs>
      <w:ind w:left="720" w:hanging="720"/>
    </w:pPr>
  </w:style>
  <w:style w:type="character" w:customStyle="1" w:styleId="BCL2Char">
    <w:name w:val="BCL2 Char"/>
    <w:basedOn w:val="BCLChar"/>
    <w:link w:val="BCL2"/>
    <w:rsid w:val="0089669A"/>
    <w:rPr>
      <w:rFonts w:ascii="Gill Sans MT" w:hAnsi="Gill Sans MT"/>
      <w:b/>
      <w:bCs/>
      <w:szCs w:val="32"/>
      <w:lang w:val="fr-LU"/>
    </w:rPr>
  </w:style>
  <w:style w:type="paragraph" w:customStyle="1" w:styleId="BCL3">
    <w:name w:val="BCL3"/>
    <w:basedOn w:val="BCL"/>
    <w:link w:val="BCL3Char"/>
    <w:rsid w:val="0089669A"/>
    <w:pPr>
      <w:numPr>
        <w:numId w:val="0"/>
      </w:numPr>
      <w:tabs>
        <w:tab w:val="num" w:pos="720"/>
      </w:tabs>
      <w:ind w:left="1077" w:hanging="357"/>
    </w:pPr>
  </w:style>
  <w:style w:type="character" w:styleId="CommentReference">
    <w:name w:val="annotation reference"/>
    <w:basedOn w:val="DefaultParagraphFont"/>
    <w:uiPriority w:val="99"/>
    <w:semiHidden/>
    <w:unhideWhenUsed/>
    <w:rsid w:val="00616B01"/>
    <w:rPr>
      <w:sz w:val="16"/>
      <w:szCs w:val="16"/>
    </w:rPr>
  </w:style>
  <w:style w:type="character" w:customStyle="1" w:styleId="BCL3Char">
    <w:name w:val="BCL3 Char"/>
    <w:basedOn w:val="BCLChar"/>
    <w:link w:val="BCL3"/>
    <w:rsid w:val="0089669A"/>
    <w:rPr>
      <w:rFonts w:ascii="Gill Sans MT" w:hAnsi="Gill Sans MT"/>
      <w:b/>
      <w:bCs/>
      <w:szCs w:val="32"/>
      <w:lang w:val="fr-LU"/>
    </w:rPr>
  </w:style>
  <w:style w:type="paragraph" w:styleId="CommentText">
    <w:name w:val="annotation text"/>
    <w:basedOn w:val="Normal"/>
    <w:link w:val="CommentTextChar"/>
    <w:uiPriority w:val="99"/>
    <w:unhideWhenUsed/>
    <w:rsid w:val="00616B01"/>
    <w:rPr>
      <w:sz w:val="20"/>
      <w:szCs w:val="20"/>
    </w:rPr>
  </w:style>
  <w:style w:type="character" w:customStyle="1" w:styleId="CommentTextChar">
    <w:name w:val="Comment Text Char"/>
    <w:basedOn w:val="DefaultParagraphFont"/>
    <w:link w:val="CommentText"/>
    <w:uiPriority w:val="99"/>
    <w:rsid w:val="00616B01"/>
    <w:rPr>
      <w:sz w:val="20"/>
      <w:szCs w:val="20"/>
    </w:rPr>
  </w:style>
  <w:style w:type="paragraph" w:styleId="CommentSubject">
    <w:name w:val="annotation subject"/>
    <w:basedOn w:val="CommentText"/>
    <w:next w:val="CommentText"/>
    <w:link w:val="CommentSubjectChar"/>
    <w:uiPriority w:val="99"/>
    <w:semiHidden/>
    <w:unhideWhenUsed/>
    <w:rsid w:val="00616B01"/>
    <w:rPr>
      <w:b/>
      <w:bCs w:val="0"/>
    </w:rPr>
  </w:style>
  <w:style w:type="character" w:customStyle="1" w:styleId="CommentSubjectChar">
    <w:name w:val="Comment Subject Char"/>
    <w:basedOn w:val="CommentTextChar"/>
    <w:link w:val="CommentSubject"/>
    <w:uiPriority w:val="99"/>
    <w:semiHidden/>
    <w:rsid w:val="00616B01"/>
    <w:rPr>
      <w:b/>
      <w:bCs/>
      <w:sz w:val="20"/>
      <w:szCs w:val="20"/>
    </w:rPr>
  </w:style>
  <w:style w:type="paragraph" w:customStyle="1" w:styleId="BCL4">
    <w:name w:val="BCL4"/>
    <w:basedOn w:val="BCL"/>
    <w:link w:val="BCL4Char"/>
    <w:rsid w:val="0089669A"/>
    <w:pPr>
      <w:numPr>
        <w:numId w:val="0"/>
      </w:numPr>
      <w:tabs>
        <w:tab w:val="num" w:pos="720"/>
      </w:tabs>
      <w:ind w:left="720" w:hanging="720"/>
      <w:outlineLvl w:val="9"/>
    </w:pPr>
  </w:style>
  <w:style w:type="character" w:customStyle="1" w:styleId="BCL4Char">
    <w:name w:val="BCL4 Char"/>
    <w:basedOn w:val="BCLChar"/>
    <w:link w:val="BCL4"/>
    <w:rsid w:val="0089669A"/>
    <w:rPr>
      <w:rFonts w:ascii="Gill Sans MT" w:hAnsi="Gill Sans MT"/>
      <w:b/>
      <w:bCs/>
      <w:szCs w:val="32"/>
      <w:lang w:val="fr-LU"/>
    </w:rPr>
  </w:style>
  <w:style w:type="paragraph" w:styleId="TOC4">
    <w:name w:val="toc 4"/>
    <w:basedOn w:val="Normal"/>
    <w:next w:val="Normal"/>
    <w:autoRedefine/>
    <w:uiPriority w:val="39"/>
    <w:unhideWhenUsed/>
    <w:rsid w:val="00BC1344"/>
    <w:pPr>
      <w:tabs>
        <w:tab w:val="left" w:pos="1701"/>
        <w:tab w:val="right" w:leader="dot" w:pos="9771"/>
      </w:tabs>
      <w:spacing w:before="0"/>
      <w:ind w:left="709"/>
    </w:pPr>
    <w:rPr>
      <w:sz w:val="20"/>
      <w:szCs w:val="18"/>
    </w:rPr>
  </w:style>
  <w:style w:type="paragraph" w:styleId="TOC5">
    <w:name w:val="toc 5"/>
    <w:basedOn w:val="Normal"/>
    <w:next w:val="Normal"/>
    <w:autoRedefine/>
    <w:uiPriority w:val="39"/>
    <w:unhideWhenUsed/>
    <w:rsid w:val="00BC1344"/>
    <w:pPr>
      <w:spacing w:before="0"/>
      <w:ind w:left="880"/>
    </w:pPr>
    <w:rPr>
      <w:sz w:val="18"/>
      <w:szCs w:val="18"/>
    </w:rPr>
  </w:style>
  <w:style w:type="paragraph" w:styleId="TOC6">
    <w:name w:val="toc 6"/>
    <w:basedOn w:val="Normal"/>
    <w:next w:val="Normal"/>
    <w:autoRedefine/>
    <w:uiPriority w:val="39"/>
    <w:unhideWhenUsed/>
    <w:rsid w:val="00BC1344"/>
    <w:pPr>
      <w:spacing w:before="0"/>
      <w:ind w:left="1100"/>
    </w:pPr>
    <w:rPr>
      <w:sz w:val="18"/>
      <w:szCs w:val="18"/>
    </w:rPr>
  </w:style>
  <w:style w:type="paragraph" w:styleId="TOC7">
    <w:name w:val="toc 7"/>
    <w:basedOn w:val="Normal"/>
    <w:next w:val="Normal"/>
    <w:autoRedefine/>
    <w:uiPriority w:val="39"/>
    <w:unhideWhenUsed/>
    <w:rsid w:val="00BC1344"/>
    <w:pPr>
      <w:spacing w:before="0"/>
      <w:ind w:left="1320"/>
    </w:pPr>
    <w:rPr>
      <w:sz w:val="18"/>
      <w:szCs w:val="18"/>
    </w:rPr>
  </w:style>
  <w:style w:type="paragraph" w:styleId="TOC8">
    <w:name w:val="toc 8"/>
    <w:basedOn w:val="Normal"/>
    <w:next w:val="Normal"/>
    <w:autoRedefine/>
    <w:uiPriority w:val="39"/>
    <w:unhideWhenUsed/>
    <w:rsid w:val="00BC1344"/>
    <w:pPr>
      <w:spacing w:before="0"/>
      <w:ind w:left="1540"/>
    </w:pPr>
    <w:rPr>
      <w:sz w:val="18"/>
      <w:szCs w:val="18"/>
    </w:rPr>
  </w:style>
  <w:style w:type="paragraph" w:styleId="TOC9">
    <w:name w:val="toc 9"/>
    <w:basedOn w:val="Normal"/>
    <w:next w:val="Normal"/>
    <w:autoRedefine/>
    <w:uiPriority w:val="39"/>
    <w:unhideWhenUsed/>
    <w:rsid w:val="00BC1344"/>
    <w:pPr>
      <w:spacing w:before="0"/>
      <w:ind w:left="1760"/>
    </w:pPr>
    <w:rPr>
      <w:sz w:val="18"/>
      <w:szCs w:val="18"/>
    </w:rPr>
  </w:style>
  <w:style w:type="paragraph" w:customStyle="1" w:styleId="BCLText">
    <w:name w:val="BCLText"/>
    <w:basedOn w:val="BCL"/>
    <w:link w:val="BCLTextChar"/>
    <w:rsid w:val="00C13AD9"/>
    <w:pPr>
      <w:numPr>
        <w:numId w:val="0"/>
      </w:numPr>
      <w:spacing w:before="60"/>
      <w:ind w:left="357"/>
      <w:outlineLvl w:val="9"/>
    </w:pPr>
    <w:rPr>
      <w:rFonts w:asciiTheme="minorHAnsi" w:hAnsiTheme="minorHAnsi"/>
      <w:b w:val="0"/>
    </w:rPr>
  </w:style>
  <w:style w:type="character" w:customStyle="1" w:styleId="BCLTextChar">
    <w:name w:val="BCLText Char"/>
    <w:basedOn w:val="BCLChar"/>
    <w:link w:val="BCLText"/>
    <w:rsid w:val="00C13AD9"/>
    <w:rPr>
      <w:rFonts w:asciiTheme="minorHAnsi" w:hAnsiTheme="minorHAnsi"/>
      <w:b w:val="0"/>
      <w:bCs/>
      <w:szCs w:val="32"/>
      <w:lang w:val="fr-LU"/>
    </w:rPr>
  </w:style>
  <w:style w:type="paragraph" w:styleId="NoSpacing">
    <w:name w:val="No Spacing"/>
    <w:uiPriority w:val="1"/>
    <w:qFormat/>
    <w:rsid w:val="00770B08"/>
    <w:rPr>
      <w:bCs/>
      <w:szCs w:val="32"/>
      <w:lang w:val="fr-LU"/>
    </w:rPr>
  </w:style>
  <w:style w:type="character" w:customStyle="1" w:styleId="StyleClass">
    <w:name w:val="StyleClass"/>
    <w:basedOn w:val="DefaultParagraphFont"/>
    <w:uiPriority w:val="1"/>
    <w:qFormat/>
    <w:rsid w:val="00F8136A"/>
    <w:rPr>
      <w:rFonts w:ascii="Arial" w:hAnsi="Arial"/>
      <w:sz w:val="18"/>
      <w:szCs w:val="18"/>
      <w:lang w:val="en-GB"/>
    </w:rPr>
  </w:style>
  <w:style w:type="paragraph" w:styleId="FootnoteText">
    <w:name w:val="footnote text"/>
    <w:basedOn w:val="Normal"/>
    <w:link w:val="FootnoteTextChar"/>
    <w:uiPriority w:val="99"/>
    <w:unhideWhenUsed/>
    <w:rsid w:val="005D6E7D"/>
    <w:pPr>
      <w:spacing w:before="0" w:line="240" w:lineRule="auto"/>
    </w:pPr>
    <w:rPr>
      <w:sz w:val="16"/>
      <w:szCs w:val="20"/>
    </w:rPr>
  </w:style>
  <w:style w:type="character" w:customStyle="1" w:styleId="FootnoteTextChar">
    <w:name w:val="Footnote Text Char"/>
    <w:basedOn w:val="DefaultParagraphFont"/>
    <w:link w:val="FootnoteText"/>
    <w:uiPriority w:val="99"/>
    <w:rsid w:val="005D6E7D"/>
    <w:rPr>
      <w:bCs/>
      <w:sz w:val="16"/>
      <w:szCs w:val="20"/>
      <w:lang w:val="fr-LU"/>
    </w:rPr>
  </w:style>
  <w:style w:type="character" w:styleId="FootnoteReference">
    <w:name w:val="footnote reference"/>
    <w:basedOn w:val="DefaultParagraphFont"/>
    <w:uiPriority w:val="99"/>
    <w:semiHidden/>
    <w:unhideWhenUsed/>
    <w:rsid w:val="00424975"/>
    <w:rPr>
      <w:vertAlign w:val="superscript"/>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paragraph" w:styleId="Revision">
    <w:name w:val="Revision"/>
    <w:hidden/>
    <w:uiPriority w:val="99"/>
    <w:semiHidden/>
    <w:rsid w:val="004815A0"/>
    <w:pPr>
      <w:widowControl/>
      <w:spacing w:before="0" w:line="240" w:lineRule="auto"/>
      <w:jc w:val="left"/>
    </w:pPr>
    <w:rPr>
      <w:bCs/>
      <w:szCs w:val="32"/>
      <w:lang w:val="fr-LU"/>
    </w:rPr>
  </w:style>
  <w:style w:type="character" w:styleId="UnresolvedMention">
    <w:name w:val="Unresolved Mention"/>
    <w:basedOn w:val="DefaultParagraphFont"/>
    <w:uiPriority w:val="99"/>
    <w:semiHidden/>
    <w:unhideWhenUsed/>
    <w:rsid w:val="004B00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215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meteolux.lu/fr/filedownload/565/2022_informations_sur_le_climat_au_luxembourg_en_2022_anglais.pdf/typ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ziUExKhNq8O0uAj0HpGxgPG7yA==">CgMxLjAyCWguMzBqMHpsbDIJaC4xZm9iOXRlMgloLjN6bnlzaDc4AHIhMTJRODd4Yi01THR4Z3hmdDJ2aTdUaDg5ZW5pZE5ZbmJy</go:docsCustomData>
</go:gDocsCustomXmlDataStorage>
</file>

<file path=customXml/itemProps1.xml><?xml version="1.0" encoding="utf-8"?>
<ds:datastoreItem xmlns:ds="http://schemas.openxmlformats.org/officeDocument/2006/customXml" ds:itemID="{C92A1572-40CD-446D-A730-10913D1356C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1631</Words>
  <Characters>8973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dc:creator>
  <cp:lastModifiedBy>Willequet Jonas</cp:lastModifiedBy>
  <cp:revision>4</cp:revision>
  <dcterms:created xsi:type="dcterms:W3CDTF">2023-12-06T08:11:00Z</dcterms:created>
  <dcterms:modified xsi:type="dcterms:W3CDTF">2023-12-06T08:12:00Z</dcterms:modified>
</cp:coreProperties>
</file>