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1. Taux de précision de la segmentation </w:t>
      </w:r>
      <w:r>
        <w:rPr>
          <w:rFonts w:ascii="Arial" w:hAnsi="Arial"/>
          <w:sz w:val="24"/>
          <w:szCs w:val="24"/>
        </w:rPr>
        <w:t xml:space="preserve">automatique des données </w:t>
      </w:r>
      <w:r>
        <w:rPr>
          <w:rFonts w:ascii="Arial" w:hAnsi="Arial"/>
          <w:sz w:val="24"/>
          <w:szCs w:val="24"/>
        </w:rPr>
        <w:t xml:space="preserve"> (Priorité n°1 - Score 11)</w:t>
      </w:r>
    </w:p>
    <w:p>
      <w:pPr>
        <w:pStyle w:val="BodyText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Cet indicateur mesure l'efficacité du nouveau système de </w:t>
      </w:r>
      <w:r>
        <w:rPr>
          <w:rFonts w:ascii="Arial" w:hAnsi="Arial"/>
          <w:sz w:val="24"/>
          <w:szCs w:val="24"/>
        </w:rPr>
        <w:t>segmentation des données</w:t>
      </w:r>
      <w:r>
        <w:rPr>
          <w:rFonts w:ascii="Arial" w:hAnsi="Arial"/>
          <w:sz w:val="24"/>
          <w:szCs w:val="24"/>
        </w:rPr>
        <w:t xml:space="preserve"> (O</w:t>
      </w:r>
      <w:r>
        <w:rPr>
          <w:rFonts w:ascii="Arial" w:hAnsi="Arial"/>
          <w:sz w:val="24"/>
          <w:szCs w:val="24"/>
        </w:rPr>
        <w:t>bjectifs de développement durable, c</w:t>
      </w:r>
      <w:r>
        <w:rPr>
          <w:rFonts w:ascii="Arial" w:hAnsi="Arial"/>
          <w:sz w:val="24"/>
          <w:szCs w:val="24"/>
        </w:rPr>
        <w:t>limat, Géographique).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Objectif</w:t>
      </w:r>
      <w:r>
        <w:rPr>
          <w:rFonts w:ascii="Arial" w:hAnsi="Arial"/>
          <w:sz w:val="24"/>
          <w:szCs w:val="24"/>
        </w:rPr>
        <w:t xml:space="preserve"> : Valider la fiabilité des données de reporting dès la saisie initiale.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Mesure</w:t>
      </w:r>
      <w:r>
        <w:rPr>
          <w:rFonts w:ascii="Arial" w:hAnsi="Arial"/>
          <w:sz w:val="24"/>
          <w:szCs w:val="24"/>
        </w:rPr>
        <w:t xml:space="preserve"> : Pourcentage de dossiers dont la segmentation suggérée par l'outil est validée sans modification par l'expert métier.</w:t>
      </w:r>
    </w:p>
    <w:p>
      <w:pPr>
        <w:pStyle w:val="Heading3"/>
        <w:bidi w:val="0"/>
        <w:spacing w:lineRule="auto" w:line="276" w:before="0" w:after="14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2. Écart moyen de prévision budgétaire (Priorité n°2 - Score 1</w:t>
      </w:r>
      <w:r>
        <w:rPr>
          <w:rFonts w:ascii="Arial" w:hAnsi="Arial"/>
          <w:sz w:val="24"/>
          <w:szCs w:val="24"/>
        </w:rPr>
        <w:t>1</w:t>
      </w:r>
      <w:r>
        <w:rPr>
          <w:rFonts w:ascii="Arial" w:hAnsi="Arial"/>
          <w:sz w:val="24"/>
          <w:szCs w:val="24"/>
        </w:rPr>
        <w:t>)</w:t>
      </w:r>
    </w:p>
    <w:p>
      <w:pPr>
        <w:pStyle w:val="BodyText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Indicateur de fiabilité pour les nouveaux modèles prédictifs simulant les flux futurs.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Objectif</w:t>
      </w:r>
      <w:r>
        <w:rPr>
          <w:rFonts w:ascii="Arial" w:hAnsi="Arial"/>
          <w:sz w:val="24"/>
          <w:szCs w:val="24"/>
        </w:rPr>
        <w:t xml:space="preserve"> : Réduire l'incertitude dans la planification budgétaire.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Mesure</w:t>
      </w:r>
      <w:r>
        <w:rPr>
          <w:rFonts w:ascii="Arial" w:hAnsi="Arial"/>
          <w:sz w:val="24"/>
          <w:szCs w:val="24"/>
        </w:rPr>
        <w:t xml:space="preserve"> : Différence en pourcentage entre les flux financiers simulés par l'outil et les versements réels constatés en fin d'exercice.</w:t>
      </w:r>
    </w:p>
    <w:p>
      <w:pPr>
        <w:pStyle w:val="Heading3"/>
        <w:bidi w:val="0"/>
        <w:spacing w:lineRule="auto" w:line="276" w:before="0" w:after="14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3. Temps de production d'un rapport standard (Priorité n°3 - Score 9)</w:t>
      </w:r>
    </w:p>
    <w:p>
      <w:pPr>
        <w:pStyle w:val="BodyText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KPI de productivité lié à l'automatisation de la génération des rapports.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Objectif</w:t>
      </w:r>
      <w:r>
        <w:rPr>
          <w:rFonts w:ascii="Arial" w:hAnsi="Arial"/>
          <w:sz w:val="24"/>
          <w:szCs w:val="24"/>
        </w:rPr>
        <w:t xml:space="preserve"> : Libérer du temps pour l'analyse en réduisant les tâches de mise en forme manuelle.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Mesure</w:t>
      </w:r>
      <w:r>
        <w:rPr>
          <w:rFonts w:ascii="Arial" w:hAnsi="Arial"/>
          <w:sz w:val="24"/>
          <w:szCs w:val="24"/>
        </w:rPr>
        <w:t xml:space="preserve"> : Temps total (en minutes) nécessaire entre l'extraction des données et la finalisation du rapport, comparé au processus actuel.</w:t>
      </w:r>
    </w:p>
    <w:p>
      <w:pPr>
        <w:pStyle w:val="Heading3"/>
        <w:bidi w:val="0"/>
        <w:spacing w:lineRule="auto" w:line="276" w:before="0" w:after="14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4. Taux d'utilisation de la visualisation graphique (Priorité n°4 - Score 8)</w:t>
      </w:r>
    </w:p>
    <w:p>
      <w:pPr>
        <w:pStyle w:val="BodyText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Mesure l'adoption réelle de la visualisation des engagements à long terme (5-10 ans).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Objectif</w:t>
      </w:r>
      <w:r>
        <w:rPr>
          <w:rFonts w:ascii="Arial" w:hAnsi="Arial"/>
          <w:sz w:val="24"/>
          <w:szCs w:val="24"/>
        </w:rPr>
        <w:t xml:space="preserve"> : Transformer l'outil en support d'aide à la décision stratégique.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Mesure</w:t>
      </w:r>
      <w:r>
        <w:rPr>
          <w:rFonts w:ascii="Arial" w:hAnsi="Arial"/>
          <w:sz w:val="24"/>
          <w:szCs w:val="24"/>
        </w:rPr>
        <w:t xml:space="preserve"> : Pourcentage de revues de direction ou de comités budgétaires utilisant directement les vues interactives de l'outil plutôt que des fichiers Excel externes.</w:t>
      </w:r>
    </w:p>
    <w:p>
      <w:pPr>
        <w:pStyle w:val="Heading3"/>
        <w:bidi w:val="0"/>
        <w:spacing w:lineRule="auto" w:line="276" w:before="0" w:after="14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5. Fraîcheur des données (Priorité n°5 - Score 8)</w:t>
      </w:r>
    </w:p>
    <w:p>
      <w:pPr>
        <w:pStyle w:val="BodyText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Indicateur de qualité sur l'intégration des flux OCDE/CAD pour la comparaison internationale.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Objectif</w:t>
      </w:r>
      <w:r>
        <w:rPr>
          <w:rFonts w:ascii="Arial" w:hAnsi="Arial"/>
          <w:sz w:val="24"/>
          <w:szCs w:val="24"/>
        </w:rPr>
        <w:t xml:space="preserve"> : Garantir que l'AFD se compare toujours aux données internationales les plus récentes.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Mesure</w:t>
      </w:r>
      <w:r>
        <w:rPr>
          <w:rFonts w:ascii="Arial" w:hAnsi="Arial"/>
          <w:sz w:val="24"/>
          <w:szCs w:val="24"/>
        </w:rPr>
        <w:t xml:space="preserve"> : Délai (en jours) entre la mise à jour officielle de l'OCDE et sa disponibilité effective dans vos tableaux de bord internes.</w:t>
      </w:r>
    </w:p>
    <w:p>
      <w:pPr>
        <w:pStyle w:val="BodyText"/>
        <w:bidi w:val="0"/>
        <w:spacing w:before="0" w:after="14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fr-FR" w:eastAsia="zh-CN" w:bidi="hi-IN"/>
    </w:rPr>
  </w:style>
  <w:style w:type="paragraph" w:styleId="Heading3">
    <w:name w:val="heading 3"/>
    <w:basedOn w:val="Titreuser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Pucesuser">
    <w:name w:val="Puces (user)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75</TotalTime>
  <Application>LibreOffice/26.2.0.3$Windows_X86_64 LibreOffice_project/620$Build-3</Application>
  <AppVersion>15.0000</AppVersion>
  <Pages>1</Pages>
  <Words>301</Words>
  <Characters>1664</Characters>
  <CharactersWithSpaces>1936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2026-02-22T18:17:20Z</dcterms:created>
  <dc:creator/>
  <dc:description/>
  <dc:language>fr-FR</dc:language>
  <cp:lastModifiedBy/>
  <dcterms:modified xsi:type="dcterms:W3CDTF">2026-02-23T09:53:01Z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