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Note-Taking Skill Development</w:t>
      </w:r>
    </w:p>
    <w:p>
      <w:pPr>
        <w:spacing w:after="320"/>
        <w:jc w:val="center"/>
      </w:pPr>
      <w:r>
        <w:rPr>
          <w:rFonts w:ascii="Arial" w:cs="Arial" w:eastAsia="Arial" w:hAnsi="Arial"/>
          <w:i/>
          <w:iCs/>
          <w:color w:val="555555"/>
          <w:sz w:val="24"/>
          <w:szCs w:val="24"/>
        </w:rPr>
        <w:t xml:space="preserve">3-Lesson Gradual Release Plan  |  Math Summer Camp</w:t>
      </w:r>
    </w:p>
    <w:p>
      <w:pPr>
        <w:pStyle w:val="Heading1"/>
      </w:pPr>
      <w:r>
        <w:rPr>
          <w:rFonts w:ascii="Arial" w:cs="Arial" w:eastAsia="Arial" w:hAnsi="Arial"/>
          <w:b/>
          <w:bCs/>
          <w:sz w:val="32"/>
          <w:szCs w:val="32"/>
        </w:rPr>
        <w:t xml:space="preserve">Overview</w:t>
      </w:r>
    </w:p>
    <w:p>
      <w:pPr>
        <w:spacing w:after="80"/>
      </w:pPr>
      <w:r>
        <w:rPr>
          <w:rFonts w:ascii="Arial" w:cs="Arial" w:eastAsia="Arial" w:hAnsi="Arial"/>
          <w:sz w:val="22"/>
          <w:szCs w:val="22"/>
        </w:rPr>
        <w:t xml:space="preserve">Learning how to take notes is itself a skill — one that sits underneath every other subject. The goal of this plan is to teach the students not just what to write, but why certain things are worth writing. Over three lessons, the responsibility shifts gradually from Leo providing the structure to the students creating it themselves.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0FA" w:val="clear"/>
            <w:tcMar>
              <w:top w:type="dxa" w:w="120"/>
              <w:left w:type="dxa" w:w="180"/>
              <w:bottom w:type="dxa" w:w="120"/>
              <w:right w:type="dxa" w:w="180"/>
            </w:tcMar>
          </w:tcPr>
          <w:p>
            <w:pPr>
              <w:spacing w:after="60"/>
            </w:pPr>
            <w:r>
              <w:rPr>
                <w:rFonts w:ascii="Arial" w:cs="Arial" w:eastAsia="Arial" w:hAnsi="Arial"/>
                <w:b/>
                <w:bCs/>
                <w:color w:val="1F3864"/>
                <w:sz w:val="22"/>
                <w:szCs w:val="22"/>
              </w:rPr>
              <w:t xml:space="preserve">Core principle</w:t>
            </w:r>
          </w:p>
          <w:p>
            <w:pPr>
              <w:spacing w:after="60"/>
            </w:pPr>
            <w:r>
              <w:rPr>
                <w:rFonts w:ascii="Arial" w:cs="Arial" w:eastAsia="Arial" w:hAnsi="Arial"/>
                <w:sz w:val="22"/>
                <w:szCs w:val="22"/>
              </w:rPr>
              <w:t xml:space="preserve">Good notes are not a transcript. They are a personal reference document built around three things:</w:t>
            </w:r>
          </w:p>
          <w:p>
            <w:pPr>
              <w:spacing w:after="60"/>
            </w:pPr>
            <w:r>
              <w:rPr>
                <w:rFonts w:ascii="Arial" w:cs="Arial" w:eastAsia="Arial" w:hAnsi="Arial"/>
                <w:sz w:val="22"/>
                <w:szCs w:val="22"/>
              </w:rPr>
              <w:t xml:space="preserve">  •  The exact definition (written verbatim — precision matters in math)</w:t>
            </w:r>
          </w:p>
          <w:p>
            <w:pPr>
              <w:spacing w:after="60"/>
            </w:pPr>
            <w:r>
              <w:rPr>
                <w:rFonts w:ascii="Arial" w:cs="Arial" w:eastAsia="Arial" w:hAnsi="Arial"/>
                <w:sz w:val="22"/>
                <w:szCs w:val="22"/>
              </w:rPr>
              <w:t xml:space="preserve">  •  The intuition behind it (written in your own words)</w:t>
            </w:r>
          </w:p>
          <w:p>
            <w:pPr>
              <w:spacing w:after="60"/>
            </w:pPr>
            <w:r>
              <w:rPr>
                <w:rFonts w:ascii="Arial" w:cs="Arial" w:eastAsia="Arial" w:hAnsi="Arial"/>
                <w:sz w:val="22"/>
                <w:szCs w:val="22"/>
              </w:rPr>
              <w:t xml:space="preserve">  •  A worked example (the thing you will actually look back at when stuck)</w:t>
            </w:r>
          </w:p>
        </w:tc>
      </w:tr>
    </w:tbl>
    <w:p>
      <w:pPr>
        <w:spacing w:after="80"/>
      </w:pPr>
      <w:r>
        <w:t xml:space="preserve"/>
      </w:r>
    </w:p>
    <w:p>
      <w:pPr>
        <w:pStyle w:val="Heading1"/>
      </w:pPr>
      <w:r>
        <w:rPr>
          <w:rFonts w:ascii="Arial" w:cs="Arial" w:eastAsia="Arial" w:hAnsi="Arial"/>
          <w:b/>
          <w:bCs/>
          <w:sz w:val="32"/>
          <w:szCs w:val="32"/>
        </w:rPr>
        <w:t xml:space="preserve">The Three-Lesson Arc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2"/>
                <w:szCs w:val="22"/>
              </w:rPr>
              <w:t xml:space="preserve">Lesson</w:t>
            </w:r>
          </w:p>
        </w:tc>
        <w:tc>
          <w:tcPr>
            <w:tcW w:type="dxa" w:w="35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2"/>
                <w:szCs w:val="22"/>
              </w:rPr>
              <w:t xml:space="preserve">What Leo provides</w:t>
            </w:r>
          </w:p>
        </w:tc>
        <w:tc>
          <w:tcPr>
            <w:tcW w:type="dxa" w:w="35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2"/>
                <w:szCs w:val="22"/>
              </w:rPr>
              <w:t xml:space="preserve">What students do</w:t>
            </w:r>
          </w:p>
        </w:tc>
      </w:tr>
      <w:tr>
        <w:tc>
          <w:tcPr>
            <w:tcW w:type="dxa" w:w="2200"/>
            <w:tcBorders>
              <w:top w:val="single" w:color="CCCCCC" w:sz="1"/>
              <w:left w:val="single" w:color="CCCCCC" w:sz="1"/>
              <w:bottom w:val="single" w:color="CCCCCC" w:sz="1"/>
              <w:right w:val="single" w:color="CCCCCC" w:sz="1"/>
            </w:tcBorders>
            <w:shd w:fill="F0F4FB" w:val="clear"/>
            <w:tcMar>
              <w:top w:type="dxa" w:w="100"/>
              <w:left w:type="dxa" w:w="140"/>
              <w:bottom w:type="dxa" w:w="100"/>
              <w:right w:type="dxa" w:w="140"/>
            </w:tcMar>
          </w:tcPr>
          <w:p>
            <w:r>
              <w:rPr>
                <w:rFonts w:ascii="Arial" w:cs="Arial" w:eastAsia="Arial" w:hAnsi="Arial"/>
                <w:b/>
                <w:bCs/>
                <w:sz w:val="22"/>
                <w:szCs w:val="22"/>
              </w:rPr>
              <w:t xml:space="preserve">Lesson 1</w:t>
            </w:r>
          </w:p>
          <w:p>
            <w:r>
              <w:rPr>
                <w:rFonts w:ascii="Arial" w:cs="Arial" w:eastAsia="Arial" w:hAnsi="Arial"/>
                <w:i/>
                <w:iCs/>
                <w:color w:val="555555"/>
                <w:sz w:val="20"/>
                <w:szCs w:val="20"/>
              </w:rPr>
              <w:t xml:space="preserve">Fully Guided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pPr>
            <w:r>
              <w:rPr>
                <w:rFonts w:ascii="Arial" w:cs="Arial" w:eastAsia="Arial" w:hAnsi="Arial"/>
                <w:sz w:val="20"/>
                <w:szCs w:val="20"/>
              </w:rPr>
              <w:t xml:space="preserve">Guided notes sheet with:</w:t>
            </w:r>
          </w:p>
          <w:p>
            <w:pPr>
              <w:spacing w:after="40"/>
            </w:pPr>
            <w:r>
              <w:rPr>
                <w:rFonts w:ascii="Arial" w:cs="Arial" w:eastAsia="Arial" w:hAnsi="Arial"/>
                <w:sz w:val="20"/>
                <w:szCs w:val="20"/>
              </w:rPr>
              <w:t xml:space="preserve">•  Labeled boxes (Definition / Intuition / Example)</w:t>
            </w:r>
          </w:p>
          <w:p>
            <w:pPr>
              <w:spacing w:after="40"/>
            </w:pPr>
            <w:r>
              <w:rPr>
                <w:rFonts w:ascii="Arial" w:cs="Arial" w:eastAsia="Arial" w:hAnsi="Arial"/>
                <w:sz w:val="20"/>
                <w:szCs w:val="20"/>
              </w:rPr>
              <w:t xml:space="preserve">•  Blanks to fill in during lecture</w:t>
            </w:r>
          </w:p>
          <w:p>
            <w:r>
              <w:rPr>
                <w:rFonts w:ascii="Arial" w:cs="Arial" w:eastAsia="Arial" w:hAnsi="Arial"/>
                <w:sz w:val="20"/>
                <w:szCs w:val="20"/>
              </w:rPr>
              <w:t xml:space="preserve">•  Annotations explaining why each box matters</w:t>
            </w:r>
          </w:p>
        </w:tc>
        <w:tc>
          <w:tcPr>
            <w:tcW w:type="dxa" w:w="358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Fill in blanks as Leo talks. See what belongs in each category. Start internalizing the anatomy of a good note.</w:t>
            </w:r>
          </w:p>
        </w:tc>
      </w:tr>
      <w:tr>
        <w:tc>
          <w:tcPr>
            <w:tcW w:type="dxa" w:w="2200"/>
            <w:tcBorders>
              <w:top w:val="single" w:color="CCCCCC" w:sz="1"/>
              <w:left w:val="single" w:color="CCCCCC" w:sz="1"/>
              <w:bottom w:val="single" w:color="CCCCCC" w:sz="1"/>
              <w:right w:val="single" w:color="CCCCCC" w:sz="1"/>
            </w:tcBorders>
            <w:shd w:fill="F0F4FB" w:val="clear"/>
            <w:tcMar>
              <w:top w:type="dxa" w:w="100"/>
              <w:left w:type="dxa" w:w="140"/>
              <w:bottom w:type="dxa" w:w="100"/>
              <w:right w:type="dxa" w:w="140"/>
            </w:tcMar>
          </w:tcPr>
          <w:p>
            <w:r>
              <w:rPr>
                <w:rFonts w:ascii="Arial" w:cs="Arial" w:eastAsia="Arial" w:hAnsi="Arial"/>
                <w:b/>
                <w:bCs/>
                <w:sz w:val="22"/>
                <w:szCs w:val="22"/>
              </w:rPr>
              <w:t xml:space="preserve">Lesson 2</w:t>
            </w:r>
          </w:p>
          <w:p>
            <w:r>
              <w:rPr>
                <w:rFonts w:ascii="Arial" w:cs="Arial" w:eastAsia="Arial" w:hAnsi="Arial"/>
                <w:i/>
                <w:iCs/>
                <w:color w:val="555555"/>
                <w:sz w:val="20"/>
                <w:szCs w:val="20"/>
              </w:rPr>
              <w:t xml:space="preserve">Partial Scaffold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pPr>
            <w:r>
              <w:rPr>
                <w:rFonts w:ascii="Arial" w:cs="Arial" w:eastAsia="Arial" w:hAnsi="Arial"/>
                <w:sz w:val="20"/>
                <w:szCs w:val="20"/>
              </w:rPr>
              <w:t xml:space="preserve">Sheet with section headers only:</w:t>
            </w:r>
          </w:p>
          <w:p>
            <w:pPr>
              <w:spacing w:after="40"/>
            </w:pPr>
            <w:r>
              <w:rPr>
                <w:rFonts w:ascii="Arial" w:cs="Arial" w:eastAsia="Arial" w:hAnsi="Arial"/>
                <w:sz w:val="20"/>
                <w:szCs w:val="20"/>
              </w:rPr>
              <w:t xml:space="preserve">•  Concept names are given</w:t>
            </w:r>
          </w:p>
          <w:p>
            <w:pPr>
              <w:spacing w:after="40"/>
            </w:pPr>
            <w:r>
              <w:rPr>
                <w:rFonts w:ascii="Arial" w:cs="Arial" w:eastAsia="Arial" w:hAnsi="Arial"/>
                <w:sz w:val="20"/>
                <w:szCs w:val="20"/>
              </w:rPr>
              <w:t xml:space="preserve">•  Category labels (Def / Intuition / Ex) are given</w:t>
            </w:r>
          </w:p>
          <w:p>
            <w:r>
              <w:rPr>
                <w:rFonts w:ascii="Arial" w:cs="Arial" w:eastAsia="Arial" w:hAnsi="Arial"/>
                <w:sz w:val="20"/>
                <w:szCs w:val="20"/>
              </w:rPr>
              <w:t xml:space="preserve">•  No fill-in blanks — they write everything</w:t>
            </w:r>
          </w:p>
        </w:tc>
        <w:tc>
          <w:tcPr>
            <w:tcW w:type="dxa" w:w="358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Decide what goes under each header. The structure is still provided — the judgment of what to include is now theirs.</w:t>
            </w:r>
          </w:p>
        </w:tc>
      </w:tr>
      <w:tr>
        <w:tc>
          <w:tcPr>
            <w:tcW w:type="dxa" w:w="2200"/>
            <w:tcBorders>
              <w:top w:val="single" w:color="CCCCCC" w:sz="1"/>
              <w:left w:val="single" w:color="CCCCCC" w:sz="1"/>
              <w:bottom w:val="single" w:color="CCCCCC" w:sz="1"/>
              <w:right w:val="single" w:color="CCCCCC" w:sz="1"/>
            </w:tcBorders>
            <w:shd w:fill="F0F4FB" w:val="clear"/>
            <w:tcMar>
              <w:top w:type="dxa" w:w="100"/>
              <w:left w:type="dxa" w:w="140"/>
              <w:bottom w:type="dxa" w:w="100"/>
              <w:right w:type="dxa" w:w="140"/>
            </w:tcMar>
          </w:tcPr>
          <w:p>
            <w:r>
              <w:rPr>
                <w:rFonts w:ascii="Arial" w:cs="Arial" w:eastAsia="Arial" w:hAnsi="Arial"/>
                <w:b/>
                <w:bCs/>
                <w:sz w:val="22"/>
                <w:szCs w:val="22"/>
              </w:rPr>
              <w:t xml:space="preserve">Lesson 3+</w:t>
            </w:r>
          </w:p>
          <w:p>
            <w:r>
              <w:rPr>
                <w:rFonts w:ascii="Arial" w:cs="Arial" w:eastAsia="Arial" w:hAnsi="Arial"/>
                <w:i/>
                <w:iCs/>
                <w:color w:val="555555"/>
                <w:sz w:val="20"/>
                <w:szCs w:val="20"/>
              </w:rPr>
              <w:t xml:space="preserve">Self-Directed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Blank paper. No sheet.</w:t>
            </w:r>
          </w:p>
        </w:tc>
        <w:tc>
          <w:tcPr>
            <w:tcW w:type="dxa" w:w="358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r>
              <w:rPr>
                <w:rFonts w:ascii="Arial" w:cs="Arial" w:eastAsia="Arial" w:hAnsi="Arial"/>
                <w:sz w:val="20"/>
                <w:szCs w:val="20"/>
              </w:rPr>
              <w:t xml:space="preserve">Recreate the framework from memory. 5-min note comparison at the start of each class: what did each of them write, and what did the other catch that they missed?</w:t>
            </w:r>
          </w:p>
        </w:tc>
      </w:tr>
    </w:tbl>
    <w:p>
      <w:pPr>
        <w:spacing w:after="80"/>
      </w:pPr>
      <w:r>
        <w:t xml:space="preserve"/>
      </w:r>
    </w:p>
    <w:p>
      <w:pPr>
        <w:spacing w:after="80"/>
      </w:pPr>
      <w:r>
        <w:t xml:space="preserve"/>
      </w:r>
    </w:p>
    <w:p>
      <w:pPr>
        <w:pStyle w:val="Heading1"/>
      </w:pPr>
      <w:r>
        <w:rPr>
          <w:rFonts w:ascii="Arial" w:cs="Arial" w:eastAsia="Arial" w:hAnsi="Arial"/>
          <w:b/>
          <w:bCs/>
          <w:sz w:val="32"/>
          <w:szCs w:val="32"/>
        </w:rPr>
        <w:t xml:space="preserve">Lesson 1 — Guided Notes Sheet Design</w:t>
      </w:r>
    </w:p>
    <w:p>
      <w:pPr>
        <w:spacing w:after="80"/>
      </w:pPr>
      <w:r>
        <w:rPr>
          <w:rFonts w:ascii="Arial" w:cs="Arial" w:eastAsia="Arial" w:hAnsi="Arial"/>
          <w:sz w:val="22"/>
          <w:szCs w:val="22"/>
        </w:rPr>
        <w:t xml:space="preserve">The guided notes sheet for Lesson 1 should do two things at once: give students a clean reference document, and make the note-taking philosophy visible. Each concept block should look like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0FA" w:val="clear"/>
            <w:tcMar>
              <w:top w:type="dxa" w:w="120"/>
              <w:left w:type="dxa" w:w="180"/>
              <w:bottom w:type="dxa" w:w="120"/>
              <w:right w:type="dxa" w:w="180"/>
            </w:tcMar>
          </w:tcPr>
          <w:p>
            <w:pPr>
              <w:spacing w:after="60"/>
            </w:pPr>
            <w:r>
              <w:rPr>
                <w:rFonts w:ascii="Arial" w:cs="Arial" w:eastAsia="Arial" w:hAnsi="Arial"/>
                <w:b/>
                <w:bCs/>
                <w:color w:val="1F3864"/>
                <w:sz w:val="22"/>
                <w:szCs w:val="22"/>
              </w:rPr>
              <w:t xml:space="preserve">What a concept block looks like on the sheet</w:t>
            </w:r>
          </w:p>
          <w:p>
            <w:pPr>
              <w:spacing w:after="60"/>
            </w:pPr>
            <w:r>
              <w:rPr>
                <w:rFonts w:ascii="Arial" w:cs="Arial" w:eastAsia="Arial" w:hAnsi="Arial"/>
                <w:sz w:val="22"/>
                <w:szCs w:val="22"/>
              </w:rPr>
              <w:t xml:space="preserve">CONCEPT NAME  (e.g., Function)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DEFINITION  ← write this verbatim; precision matters</w:t>
            </w:r>
          </w:p>
          <w:p>
            <w:pPr>
              <w:spacing w:after="60"/>
            </w:pPr>
            <w:r>
              <w:rPr>
                <w:rFonts w:ascii="Arial" w:cs="Arial" w:eastAsia="Arial" w:hAnsi="Arial"/>
                <w:sz w:val="22"/>
                <w:szCs w:val="22"/>
              </w:rPr>
              <w:t xml:space="preserve">  _________________________________________________________________</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INTUITION  ← write this in your own words</w:t>
            </w:r>
          </w:p>
          <w:p>
            <w:pPr>
              <w:spacing w:after="60"/>
            </w:pPr>
            <w:r>
              <w:rPr>
                <w:rFonts w:ascii="Arial" w:cs="Arial" w:eastAsia="Arial" w:hAnsi="Arial"/>
                <w:sz w:val="22"/>
                <w:szCs w:val="22"/>
              </w:rPr>
              <w:t xml:space="preserve">  _________________________________________________________________</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EXAMPLE  ← a worked problem you can return to when stuck</w:t>
            </w:r>
          </w:p>
          <w:p>
            <w:pPr>
              <w:spacing w:after="60"/>
            </w:pPr>
            <w:r>
              <w:rPr>
                <w:rFonts w:ascii="Arial" w:cs="Arial" w:eastAsia="Arial" w:hAnsi="Arial"/>
                <w:sz w:val="22"/>
                <w:szCs w:val="22"/>
              </w:rPr>
              <w:t xml:space="preserve">  [space to work]</w:t>
            </w:r>
          </w:p>
        </w:tc>
      </w:tr>
    </w:tbl>
    <w:p>
      <w:pPr>
        <w:spacing w:after="80"/>
      </w:pPr>
      <w:r>
        <w:t xml:space="preserve"/>
      </w:r>
    </w:p>
    <w:p>
      <w:pPr>
        <w:spacing w:after="80"/>
      </w:pPr>
      <w:r>
        <w:rPr>
          <w:rFonts w:ascii="Arial" w:cs="Arial" w:eastAsia="Arial" w:hAnsi="Arial"/>
          <w:sz w:val="22"/>
          <w:szCs w:val="22"/>
        </w:rPr>
        <w:t xml:space="preserve">The small annotations (← write this verbatim, ← write this in your own words) are the actual lesson on note-taking. They make explicit what is usually left implicit. After two uses of this format, students will have absorbed the distinction without being lectured about it.</w:t>
      </w:r>
    </w:p>
    <w:p>
      <w:pPr>
        <w:spacing w:after="80"/>
      </w:pPr>
      <w:r>
        <w:t xml:space="preserve"/>
      </w:r>
    </w:p>
    <w:p>
      <w:pPr>
        <w:pStyle w:val="Heading1"/>
      </w:pPr>
      <w:r>
        <w:rPr>
          <w:rFonts w:ascii="Arial" w:cs="Arial" w:eastAsia="Arial" w:hAnsi="Arial"/>
          <w:b/>
          <w:bCs/>
          <w:sz w:val="32"/>
          <w:szCs w:val="32"/>
        </w:rPr>
        <w:t xml:space="preserve">Lesson 2 — Partial Scaffold Sheet Design</w:t>
      </w:r>
    </w:p>
    <w:p>
      <w:pPr>
        <w:spacing w:after="80"/>
      </w:pPr>
      <w:r>
        <w:rPr>
          <w:rFonts w:ascii="Arial" w:cs="Arial" w:eastAsia="Arial" w:hAnsi="Arial"/>
          <w:sz w:val="22"/>
          <w:szCs w:val="22"/>
        </w:rPr>
        <w:t xml:space="preserve">Remove the fill-in blanks but keep the structural skeleton. The sheet lists:</w:t>
      </w:r>
    </w:p>
    <w:p>
      <w:pPr>
        <w:spacing w:after="80"/>
      </w:pPr>
      <w:r>
        <w:t xml:space="preserve"/>
      </w:r>
    </w:p>
    <w:p>
      <w:pPr>
        <w:pStyle w:val="ListParagraph"/>
        <w:numPr>
          <w:ilvl w:val="0"/>
          <w:numId w:val="2"/>
        </w:numPr>
      </w:pPr>
      <w:r>
        <w:rPr>
          <w:rFonts w:ascii="Arial" w:cs="Arial" w:eastAsia="Arial" w:hAnsi="Arial"/>
          <w:sz w:val="22"/>
          <w:szCs w:val="22"/>
        </w:rPr>
        <w:t xml:space="preserve">The name of each concept covered in class</w:t>
      </w:r>
    </w:p>
    <w:p>
      <w:pPr>
        <w:pStyle w:val="ListParagraph"/>
        <w:numPr>
          <w:ilvl w:val="0"/>
          <w:numId w:val="2"/>
        </w:numPr>
      </w:pPr>
      <w:r>
        <w:rPr>
          <w:rFonts w:ascii="Arial" w:cs="Arial" w:eastAsia="Arial" w:hAnsi="Arial"/>
          <w:sz w:val="22"/>
          <w:szCs w:val="22"/>
        </w:rPr>
        <w:t xml:space="preserve">The three category labels: Definition / Intuition / Example</w:t>
      </w:r>
    </w:p>
    <w:p>
      <w:pPr>
        <w:pStyle w:val="ListParagraph"/>
        <w:numPr>
          <w:ilvl w:val="0"/>
          <w:numId w:val="2"/>
        </w:numPr>
      </w:pPr>
      <w:r>
        <w:rPr>
          <w:rFonts w:ascii="Arial" w:cs="Arial" w:eastAsia="Arial" w:hAnsi="Arial"/>
          <w:sz w:val="22"/>
          <w:szCs w:val="22"/>
        </w:rPr>
        <w:t xml:space="preserve">Nothing else — no prompts, no blanks</w:t>
      </w:r>
    </w:p>
    <w:p>
      <w:pPr>
        <w:spacing w:after="80"/>
      </w:pPr>
      <w:r>
        <w:t xml:space="preserve"/>
      </w:r>
    </w:p>
    <w:p>
      <w:pPr>
        <w:spacing w:after="80"/>
      </w:pPr>
      <w:r>
        <w:rPr>
          <w:rFonts w:ascii="Arial" w:cs="Arial" w:eastAsia="Arial" w:hAnsi="Arial"/>
          <w:sz w:val="22"/>
          <w:szCs w:val="22"/>
        </w:rPr>
        <w:t xml:space="preserve">Students must now choose what to write under each label. This is the critical judgment moment. The structure is a safety net, not a crutch.</w:t>
      </w:r>
    </w:p>
    <w:p>
      <w:pPr>
        <w:spacing w:after="80"/>
      </w:pPr>
      <w:r>
        <w:t xml:space="preserve"/>
      </w:r>
    </w:p>
    <w:p>
      <w:pPr>
        <w:pStyle w:val="Heading1"/>
      </w:pPr>
      <w:r>
        <w:rPr>
          <w:rFonts w:ascii="Arial" w:cs="Arial" w:eastAsia="Arial" w:hAnsi="Arial"/>
          <w:b/>
          <w:bCs/>
          <w:sz w:val="32"/>
          <w:szCs w:val="32"/>
        </w:rPr>
        <w:t xml:space="preserve">Lesson 3+ — Self-Directed with Comparison Ritual</w:t>
      </w:r>
    </w:p>
    <w:p>
      <w:pPr>
        <w:spacing w:after="80"/>
      </w:pPr>
      <w:r>
        <w:rPr>
          <w:rFonts w:ascii="Arial" w:cs="Arial" w:eastAsia="Arial" w:hAnsi="Arial"/>
          <w:sz w:val="22"/>
          <w:szCs w:val="22"/>
        </w:rPr>
        <w:t xml:space="preserve">From Lesson 3 onward, no sheet is provided. Students take notes on blank paper. The key addition is a short ritual at the start of each subsequent class: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180"/>
              <w:bottom w:type="dxa" w:w="120"/>
              <w:right w:type="dxa" w:w="180"/>
            </w:tcMar>
          </w:tcPr>
          <w:p>
            <w:pPr>
              <w:spacing w:after="60"/>
            </w:pPr>
            <w:r>
              <w:rPr>
                <w:rFonts w:ascii="Arial" w:cs="Arial" w:eastAsia="Arial" w:hAnsi="Arial"/>
                <w:b/>
                <w:bCs/>
                <w:color w:val="1F3864"/>
                <w:sz w:val="22"/>
                <w:szCs w:val="22"/>
              </w:rPr>
              <w:t xml:space="preserve">5-Minute Note Comparison (start of each class, Lesson 4+)</w:t>
            </w:r>
          </w:p>
          <w:p>
            <w:pPr>
              <w:spacing w:after="60"/>
            </w:pPr>
            <w:r>
              <w:rPr>
                <w:rFonts w:ascii="Arial" w:cs="Arial" w:eastAsia="Arial" w:hAnsi="Arial"/>
                <w:sz w:val="22"/>
                <w:szCs w:val="22"/>
              </w:rPr>
              <w:t xml:space="preserve">1. the students swap notebooks for 2 minutes.</w:t>
            </w:r>
          </w:p>
          <w:p>
            <w:pPr>
              <w:spacing w:after="60"/>
            </w:pPr>
            <w:r>
              <w:rPr>
                <w:rFonts w:ascii="Arial" w:cs="Arial" w:eastAsia="Arial" w:hAnsi="Arial"/>
                <w:sz w:val="22"/>
                <w:szCs w:val="22"/>
              </w:rPr>
              <w:t xml:space="preserve">2. Each marks anything the other wrote that they didn’t.</w:t>
            </w:r>
          </w:p>
          <w:p>
            <w:pPr>
              <w:spacing w:after="60"/>
            </w:pPr>
            <w:r>
              <w:rPr>
                <w:rFonts w:ascii="Arial" w:cs="Arial" w:eastAsia="Arial" w:hAnsi="Arial"/>
                <w:sz w:val="22"/>
                <w:szCs w:val="22"/>
              </w:rPr>
              <w:t xml:space="preserve">3. Brief discussion: “Why did you write that? I didn’t think it was important.”</w:t>
            </w:r>
          </w:p>
          <w:p>
            <w:pPr>
              <w:spacing w:after="60"/>
            </w:pPr>
            <w:r>
              <w:rPr>
                <w:rFonts w:ascii="Arial" w:cs="Arial" w:eastAsia="Arial" w:hAnsi="Arial"/>
                <w:sz w:val="22"/>
                <w:szCs w:val="22"/>
              </w:rPr>
              <w:t xml:space="preserve">This builds calibration — over time their notes converge toward what actually matters.</w:t>
            </w:r>
          </w:p>
        </w:tc>
      </w:tr>
    </w:tbl>
    <w:p>
      <w:pPr>
        <w:spacing w:after="80"/>
      </w:pPr>
      <w:r>
        <w:t xml:space="preserve"/>
      </w:r>
    </w:p>
    <w:p>
      <w:pPr>
        <w:spacing w:after="80"/>
      </w:pPr>
      <w:r>
        <w:rPr>
          <w:rFonts w:ascii="Arial" w:cs="Arial" w:eastAsia="Arial" w:hAnsi="Arial"/>
          <w:sz w:val="22"/>
          <w:szCs w:val="22"/>
        </w:rPr>
        <w:t xml:space="preserve">The comparison ritual also surfaces gaps before they cause homework problems, and teaches students that notes are a tool, not a performance.</w:t>
      </w:r>
    </w:p>
    <w:p>
      <w:pPr>
        <w:spacing w:after="80"/>
      </w:pPr>
      <w:r>
        <w:t xml:space="preserve"/>
      </w:r>
    </w:p>
    <w:p>
      <w:pPr>
        <w:pStyle w:val="Heading1"/>
      </w:pPr>
      <w:r>
        <w:rPr>
          <w:rFonts w:ascii="Arial" w:cs="Arial" w:eastAsia="Arial" w:hAnsi="Arial"/>
          <w:b/>
          <w:bCs/>
          <w:sz w:val="32"/>
          <w:szCs w:val="32"/>
        </w:rPr>
        <w:t xml:space="preserve">What to Avoid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9E8E8" w:val="clear"/>
            <w:tcMar>
              <w:top w:type="dxa" w:w="100"/>
              <w:left w:type="dxa" w:w="140"/>
              <w:bottom w:type="dxa" w:w="100"/>
              <w:right w:type="dxa" w:w="140"/>
            </w:tcMar>
          </w:tcPr>
          <w:p>
            <w:r>
              <w:rPr>
                <w:rFonts w:ascii="Arial" w:cs="Arial" w:eastAsia="Arial" w:hAnsi="Arial"/>
                <w:b/>
                <w:bCs/>
                <w:color w:val="8B0000"/>
                <w:sz w:val="22"/>
                <w:szCs w:val="22"/>
              </w:rPr>
              <w:t xml:space="preserve">Avoid</w:t>
            </w:r>
          </w:p>
        </w:tc>
        <w:tc>
          <w:tcPr>
            <w:tcW w:type="dxa" w:w="4680"/>
            <w:tcBorders>
              <w:top w:val="single" w:color="CCCCCC" w:sz="1"/>
              <w:left w:val="single" w:color="CCCCCC" w:sz="1"/>
              <w:bottom w:val="single" w:color="CCCCCC" w:sz="1"/>
              <w:right w:val="single" w:color="CCCCCC" w:sz="1"/>
            </w:tcBorders>
            <w:shd w:fill="E8F4E8" w:val="clear"/>
            <w:tcMar>
              <w:top w:type="dxa" w:w="100"/>
              <w:left w:type="dxa" w:w="140"/>
              <w:bottom w:type="dxa" w:w="100"/>
              <w:right w:type="dxa" w:w="140"/>
            </w:tcMar>
          </w:tcPr>
          <w:p>
            <w:r>
              <w:rPr>
                <w:rFonts w:ascii="Arial" w:cs="Arial" w:eastAsia="Arial" w:hAnsi="Arial"/>
                <w:b/>
                <w:bCs/>
                <w:color w:val="1F5C1F"/>
                <w:sz w:val="22"/>
                <w:szCs w:val="22"/>
              </w:rPr>
              <w:t xml:space="preserve">Why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Telling students to "write everything down"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i/>
                <w:iCs/>
                <w:sz w:val="20"/>
                <w:szCs w:val="20"/>
              </w:rPr>
              <w:t xml:space="preserve">Creates transcription mode — they copy without processing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Telling students to "just listen, don't write"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i/>
                <w:iCs/>
                <w:sz w:val="20"/>
                <w:szCs w:val="20"/>
              </w:rPr>
              <w:t xml:space="preserve">Retention drops; no reference for homework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Cold-turkey switch from worksheet to blank paper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i/>
                <w:iCs/>
                <w:sz w:val="20"/>
                <w:szCs w:val="20"/>
              </w:rPr>
              <w:t xml:space="preserve">They know what good notes look like but not how to produce them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Grading the notes themselves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i/>
                <w:iCs/>
                <w:sz w:val="20"/>
                <w:szCs w:val="20"/>
              </w:rPr>
              <w:t xml:space="preserve">Turns a thinking tool into a performance — defeats the 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Skipping the note comparison ritual</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i/>
                <w:iCs/>
                <w:sz w:val="20"/>
                <w:szCs w:val="20"/>
              </w:rPr>
              <w:t xml:space="preserve">Without feedback, bad habits calcify; this is the main correction mechanism</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0FA" w:val="clear"/>
            <w:tcMar>
              <w:top w:type="dxa" w:w="120"/>
              <w:left w:type="dxa" w:w="180"/>
              <w:bottom w:type="dxa" w:w="120"/>
              <w:right w:type="dxa" w:w="180"/>
            </w:tcMar>
          </w:tcPr>
          <w:p>
            <w:pPr>
              <w:spacing w:after="60"/>
            </w:pPr>
            <w:r>
              <w:rPr>
                <w:rFonts w:ascii="Arial" w:cs="Arial" w:eastAsia="Arial" w:hAnsi="Arial"/>
                <w:b/>
                <w:bCs/>
                <w:color w:val="2E5FA3"/>
                <w:sz w:val="22"/>
                <w:szCs w:val="22"/>
              </w:rPr>
              <w:t xml:space="preserve">Analogy for students (use this in class)</w:t>
            </w:r>
          </w:p>
          <w:p>
            <w:pPr>
              <w:spacing w:after="60"/>
            </w:pPr>
            <w:r>
              <w:rPr>
                <w:rFonts w:ascii="Arial" w:cs="Arial" w:eastAsia="Arial" w:hAnsi="Arial"/>
                <w:sz w:val="22"/>
                <w:szCs w:val="22"/>
              </w:rPr>
              <w:t xml:space="preserve">"Your notes are like a map you draw while hiking a trail for the first time. A transcript is a photograph — it captures everything but tells you nothing about which turns matter. A good map marks only what you’d need if you came back tomorrow and had to find the summit again."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2026-06-17T23:20:03.116Z</dcterms:created>
  <dcterms:modified xsi:type="dcterms:W3CDTF">2026-06-17T23:20:03.116Z</dcterms:modified>
</cp:coreProperties>
</file>

<file path=docProps/custom.xml><?xml version="1.0" encoding="utf-8"?>
<Properties xmlns="http://schemas.openxmlformats.org/officeDocument/2006/custom-properties" xmlns:vt="http://schemas.openxmlformats.org/officeDocument/2006/docPropsVTypes"/>
</file>