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rPr>
          <w:trHeight w:val="16838" w:hRule="exact"/>
        </w:trPr>
        <w:tc>
          <w:tcPr>
            <w:tcW w:type="dxa" w:w="11906"/>
            <w:tcBorders>
              <w:top w:val="none" w:sz="0"/>
              <w:left w:val="none" w:sz="0"/>
              <w:bottom w:val="none" w:sz="0"/>
              <w:right w:val="none" w:sz="0"/>
            </w:tcBorders>
            <w:shd w:fill="0B1D3A" w:val="clear"/>
            <w:tcMar>
              <w:top w:type="dxa" w:w="4000"/>
              <w:left w:type="dxa" w:w="1800"/>
              <w:bottom w:type="dxa" w:w="1440"/>
              <w:right w:type="dxa" w:w="1800"/>
            </w:tcMar>
            <w:vAlign w:val="center"/>
          </w:tcPr>
          <w:p>
            <w:pPr>
              <w:spacing w:before="600" w:after="0"/>
            </w:pPr>
          </w:p>
          <w:p>
            <w:pPr>
              <w:spacing w:after="0"/>
            </w:pPr>
            <w:r>
              <w:rPr>
                <w:rFonts w:ascii="Arial" w:cs="Arial" w:eastAsia="Arial" w:hAnsi="Arial"/>
                <w:b/>
                <w:bCs/>
                <w:color w:val="FFFFFF"/>
                <w:sz w:val="72"/>
                <w:szCs w:val="72"/>
              </w:rPr>
              <w:t xml:space="preserve">Theatre</w:t>
            </w:r>
            <w:r>
              <w:rPr>
                <w:rFonts w:ascii="Arial" w:cs="Arial" w:eastAsia="Arial" w:hAnsi="Arial"/>
                <w:color w:val="E8943A"/>
                <w:sz w:val="72"/>
                <w:szCs w:val="72"/>
              </w:rPr>
              <w:t xml:space="preserve">log</w:t>
            </w:r>
          </w:p>
          <w:p>
            <w:pPr>
              <w:pBdr>
                <w:bottom w:val="single" w:color="E8943A" w:sz="6" w:space="1"/>
              </w:pBdr>
              <w:spacing w:before="80" w:after="600"/>
            </w:pPr>
          </w:p>
          <w:p>
            <w:pPr>
              <w:spacing w:before="200" w:after="0"/>
            </w:pPr>
          </w:p>
          <w:p>
            <w:pPr>
              <w:spacing w:after="200"/>
            </w:pPr>
            <w:r>
              <w:rPr>
                <w:rFonts w:ascii="Arial" w:cs="Arial" w:eastAsia="Arial" w:hAnsi="Arial"/>
                <w:color w:val="FFFFFF"/>
                <w:sz w:val="48"/>
                <w:szCs w:val="48"/>
              </w:rPr>
              <w:t xml:space="preserve">Brand Guidelines</w:t>
            </w:r>
          </w:p>
          <w:p>
            <w:pPr>
              <w:spacing w:before="100" w:after="0"/>
            </w:pPr>
          </w:p>
          <w:p>
            <w:pPr>
              <w:spacing w:after="100"/>
            </w:pPr>
            <w:r>
              <w:rPr>
                <w:rFonts w:ascii="Arial" w:cs="Arial" w:eastAsia="Arial" w:hAnsi="Arial"/>
                <w:i/>
                <w:iCs/>
                <w:color w:val="9CA3AF"/>
                <w:sz w:val="26"/>
                <w:szCs w:val="26"/>
              </w:rPr>
              <w:t xml:space="preserve">The surgical logbook built for UK trainees</w:t>
            </w:r>
          </w:p>
          <w:p>
            <w:pPr>
              <w:spacing w:before="2000" w:after="0"/>
            </w:pPr>
          </w:p>
          <w:p>
            <w:pPr>
              <w:spacing w:after="100"/>
            </w:pPr>
            <w:r>
              <w:rPr>
                <w:rFonts w:ascii="Arial" w:cs="Arial" w:eastAsia="Arial" w:hAnsi="Arial"/>
                <w:color w:val="6B7280"/>
                <w:sz w:val="20"/>
                <w:szCs w:val="20"/>
              </w:rPr>
              <w:t xml:space="preserve">Version 1.0  |  March 2026</w:t>
            </w:r>
          </w:p>
          <w:p>
            <w:r>
              <w:rPr>
                <w:rFonts w:ascii="Arial" w:cs="Arial" w:eastAsia="Arial" w:hAnsi="Arial"/>
                <w:color w:val="6B7280"/>
                <w:sz w:val="20"/>
                <w:szCs w:val="20"/>
              </w:rPr>
              <w:t xml:space="preserve">Confidential</w:t>
            </w:r>
          </w:p>
        </w:tc>
      </w:tr>
    </w:tbl>
    <w:p>
      <w:pPr>
        <w:sectPr>
          <w:pgSz w:w="11906" w:h="16838" w:orient="portrait"/>
          <w:pgMar w:top="0" w:right="0" w:bottom="0" w:left="0" w:header="708" w:footer="708" w:gutter="0"/>
          <w:pgNumType/>
          <w:docGrid w:linePitch="360"/>
        </w:sectPr>
      </w:pPr>
    </w:p>
    <w:p>
      <w:pPr>
        <w:spacing w:after="400"/>
      </w:pPr>
      <w:r>
        <w:rPr>
          <w:rFonts w:ascii="Arial" w:cs="Arial" w:eastAsia="Arial" w:hAnsi="Arial"/>
          <w:b/>
          <w:bCs/>
          <w:color w:val="0B1D3A"/>
          <w:sz w:val="40"/>
          <w:szCs w:val="40"/>
        </w:rPr>
        <w:t xml:space="preserve">Contents</w:t>
      </w:r>
    </w:p>
    <w:p>
      <w:pPr>
        <w:pBdr>
          <w:bottom w:val="single" w:color="0B1D3A" w:sz="4" w:space="8"/>
        </w:pBdr>
        <w:spacing w:before="200" w:after="200"/>
      </w:pPr>
    </w:p>
    <w:p>
      <w:pPr>
        <w:spacing w:after="200"/>
      </w:pPr>
      <w:r>
        <w:rPr>
          <w:rFonts w:ascii="Arial" w:cs="Arial" w:eastAsia="Arial" w:hAnsi="Arial"/>
          <w:b/>
          <w:bCs/>
          <w:color w:val="E8943A"/>
          <w:sz w:val="22"/>
          <w:szCs w:val="22"/>
        </w:rPr>
        <w:t xml:space="preserve">01    </w:t>
      </w:r>
      <w:r>
        <w:rPr>
          <w:rFonts w:ascii="Arial" w:cs="Arial" w:eastAsia="Arial" w:hAnsi="Arial"/>
          <w:color w:val="374151"/>
          <w:sz w:val="22"/>
          <w:szCs w:val="22"/>
        </w:rPr>
        <w:t xml:space="preserve">Brand Overview</w:t>
      </w:r>
    </w:p>
    <w:p>
      <w:pPr>
        <w:spacing w:after="200"/>
      </w:pPr>
      <w:r>
        <w:rPr>
          <w:rFonts w:ascii="Arial" w:cs="Arial" w:eastAsia="Arial" w:hAnsi="Arial"/>
          <w:b/>
          <w:bCs/>
          <w:color w:val="E8943A"/>
          <w:sz w:val="22"/>
          <w:szCs w:val="22"/>
        </w:rPr>
        <w:t xml:space="preserve">02    </w:t>
      </w:r>
      <w:r>
        <w:rPr>
          <w:rFonts w:ascii="Arial" w:cs="Arial" w:eastAsia="Arial" w:hAnsi="Arial"/>
          <w:color w:val="374151"/>
          <w:sz w:val="22"/>
          <w:szCs w:val="22"/>
        </w:rPr>
        <w:t xml:space="preserve">Mission &amp; Positioning</w:t>
      </w:r>
    </w:p>
    <w:p>
      <w:pPr>
        <w:spacing w:after="200"/>
      </w:pPr>
      <w:r>
        <w:rPr>
          <w:rFonts w:ascii="Arial" w:cs="Arial" w:eastAsia="Arial" w:hAnsi="Arial"/>
          <w:b/>
          <w:bCs/>
          <w:color w:val="E8943A"/>
          <w:sz w:val="22"/>
          <w:szCs w:val="22"/>
        </w:rPr>
        <w:t xml:space="preserve">03    </w:t>
      </w:r>
      <w:r>
        <w:rPr>
          <w:rFonts w:ascii="Arial" w:cs="Arial" w:eastAsia="Arial" w:hAnsi="Arial"/>
          <w:color w:val="374151"/>
          <w:sz w:val="22"/>
          <w:szCs w:val="22"/>
        </w:rPr>
        <w:t xml:space="preserve">Brand Personality &amp; Voice</w:t>
      </w:r>
    </w:p>
    <w:p>
      <w:pPr>
        <w:spacing w:after="200"/>
      </w:pPr>
      <w:r>
        <w:rPr>
          <w:rFonts w:ascii="Arial" w:cs="Arial" w:eastAsia="Arial" w:hAnsi="Arial"/>
          <w:b/>
          <w:bCs/>
          <w:color w:val="E8943A"/>
          <w:sz w:val="22"/>
          <w:szCs w:val="22"/>
        </w:rPr>
        <w:t xml:space="preserve">04    </w:t>
      </w:r>
      <w:r>
        <w:rPr>
          <w:rFonts w:ascii="Arial" w:cs="Arial" w:eastAsia="Arial" w:hAnsi="Arial"/>
          <w:color w:val="374151"/>
          <w:sz w:val="22"/>
          <w:szCs w:val="22"/>
        </w:rPr>
        <w:t xml:space="preserve">Colour Palette</w:t>
      </w:r>
    </w:p>
    <w:p>
      <w:pPr>
        <w:spacing w:after="200"/>
      </w:pPr>
      <w:r>
        <w:rPr>
          <w:rFonts w:ascii="Arial" w:cs="Arial" w:eastAsia="Arial" w:hAnsi="Arial"/>
          <w:b/>
          <w:bCs/>
          <w:color w:val="E8943A"/>
          <w:sz w:val="22"/>
          <w:szCs w:val="22"/>
        </w:rPr>
        <w:t xml:space="preserve">05    </w:t>
      </w:r>
      <w:r>
        <w:rPr>
          <w:rFonts w:ascii="Arial" w:cs="Arial" w:eastAsia="Arial" w:hAnsi="Arial"/>
          <w:color w:val="374151"/>
          <w:sz w:val="22"/>
          <w:szCs w:val="22"/>
        </w:rPr>
        <w:t xml:space="preserve">Typography</w:t>
      </w:r>
    </w:p>
    <w:p>
      <w:pPr>
        <w:spacing w:after="200"/>
      </w:pPr>
      <w:r>
        <w:rPr>
          <w:rFonts w:ascii="Arial" w:cs="Arial" w:eastAsia="Arial" w:hAnsi="Arial"/>
          <w:b/>
          <w:bCs/>
          <w:color w:val="E8943A"/>
          <w:sz w:val="22"/>
          <w:szCs w:val="22"/>
        </w:rPr>
        <w:t xml:space="preserve">06    </w:t>
      </w:r>
      <w:r>
        <w:rPr>
          <w:rFonts w:ascii="Arial" w:cs="Arial" w:eastAsia="Arial" w:hAnsi="Arial"/>
          <w:color w:val="374151"/>
          <w:sz w:val="22"/>
          <w:szCs w:val="22"/>
        </w:rPr>
        <w:t xml:space="preserve">Logo System</w:t>
      </w:r>
    </w:p>
    <w:p>
      <w:pPr>
        <w:spacing w:after="200"/>
      </w:pPr>
      <w:r>
        <w:rPr>
          <w:rFonts w:ascii="Arial" w:cs="Arial" w:eastAsia="Arial" w:hAnsi="Arial"/>
          <w:b/>
          <w:bCs/>
          <w:color w:val="E8943A"/>
          <w:sz w:val="22"/>
          <w:szCs w:val="22"/>
        </w:rPr>
        <w:t xml:space="preserve">07    </w:t>
      </w:r>
      <w:r>
        <w:rPr>
          <w:rFonts w:ascii="Arial" w:cs="Arial" w:eastAsia="Arial" w:hAnsi="Arial"/>
          <w:color w:val="374151"/>
          <w:sz w:val="22"/>
          <w:szCs w:val="22"/>
        </w:rPr>
        <w:t xml:space="preserve">Messaging Framework</w:t>
      </w:r>
    </w:p>
    <w:p>
      <w:pPr>
        <w:spacing w:after="200"/>
      </w:pPr>
      <w:r>
        <w:rPr>
          <w:rFonts w:ascii="Arial" w:cs="Arial" w:eastAsia="Arial" w:hAnsi="Arial"/>
          <w:b/>
          <w:bCs/>
          <w:color w:val="E8943A"/>
          <w:sz w:val="22"/>
          <w:szCs w:val="22"/>
        </w:rPr>
        <w:t xml:space="preserve">08    </w:t>
      </w:r>
      <w:r>
        <w:rPr>
          <w:rFonts w:ascii="Arial" w:cs="Arial" w:eastAsia="Arial" w:hAnsi="Arial"/>
          <w:color w:val="374151"/>
          <w:sz w:val="22"/>
          <w:szCs w:val="22"/>
        </w:rPr>
        <w:t xml:space="preserve">Competitive Positioning</w:t>
      </w:r>
    </w:p>
    <w:p>
      <w:pPr>
        <w:spacing w:after="200"/>
      </w:pPr>
      <w:r>
        <w:rPr>
          <w:rFonts w:ascii="Arial" w:cs="Arial" w:eastAsia="Arial" w:hAnsi="Arial"/>
          <w:b/>
          <w:bCs/>
          <w:color w:val="E8943A"/>
          <w:sz w:val="22"/>
          <w:szCs w:val="22"/>
        </w:rPr>
        <w:t xml:space="preserve">09    </w:t>
      </w:r>
      <w:r>
        <w:rPr>
          <w:rFonts w:ascii="Arial" w:cs="Arial" w:eastAsia="Arial" w:hAnsi="Arial"/>
          <w:color w:val="374151"/>
          <w:sz w:val="22"/>
          <w:szCs w:val="22"/>
        </w:rPr>
        <w:t xml:space="preserve">Target Audience</w:t>
      </w:r>
    </w:p>
    <w:p>
      <w:pPr>
        <w:spacing w:after="200"/>
      </w:pPr>
      <w:r>
        <w:rPr>
          <w:rFonts w:ascii="Arial" w:cs="Arial" w:eastAsia="Arial" w:hAnsi="Arial"/>
          <w:b/>
          <w:bCs/>
          <w:color w:val="E8943A"/>
          <w:sz w:val="22"/>
          <w:szCs w:val="22"/>
        </w:rPr>
        <w:t xml:space="preserve">10    </w:t>
      </w:r>
      <w:r>
        <w:rPr>
          <w:rFonts w:ascii="Arial" w:cs="Arial" w:eastAsia="Arial" w:hAnsi="Arial"/>
          <w:color w:val="374151"/>
          <w:sz w:val="22"/>
          <w:szCs w:val="22"/>
        </w:rPr>
        <w:t xml:space="preserve">Go-to-Market Channels</w:t>
      </w:r>
    </w:p>
    <w:p>
      <w:pPr>
        <w:spacing w:after="200"/>
      </w:pPr>
      <w:r>
        <w:rPr>
          <w:rFonts w:ascii="Arial" w:cs="Arial" w:eastAsia="Arial" w:hAnsi="Arial"/>
          <w:b/>
          <w:bCs/>
          <w:color w:val="E8943A"/>
          <w:sz w:val="22"/>
          <w:szCs w:val="22"/>
        </w:rPr>
        <w:t xml:space="preserve">11    </w:t>
      </w:r>
      <w:r>
        <w:rPr>
          <w:rFonts w:ascii="Arial" w:cs="Arial" w:eastAsia="Arial" w:hAnsi="Arial"/>
          <w:color w:val="374151"/>
          <w:sz w:val="22"/>
          <w:szCs w:val="22"/>
        </w:rPr>
        <w:t xml:space="preserve">Pricing Strategy</w:t>
      </w:r>
    </w:p>
    <w:p>
      <w:pPr>
        <w:spacing w:after="200"/>
      </w:pPr>
      <w:r>
        <w:rPr>
          <w:rFonts w:ascii="Arial" w:cs="Arial" w:eastAsia="Arial" w:hAnsi="Arial"/>
          <w:b/>
          <w:bCs/>
          <w:color w:val="E8943A"/>
          <w:sz w:val="22"/>
          <w:szCs w:val="22"/>
        </w:rPr>
        <w:t xml:space="preserve">12    </w:t>
      </w:r>
      <w:r>
        <w:rPr>
          <w:rFonts w:ascii="Arial" w:cs="Arial" w:eastAsia="Arial" w:hAnsi="Arial"/>
          <w:color w:val="374151"/>
          <w:sz w:val="22"/>
          <w:szCs w:val="22"/>
        </w:rPr>
        <w:t xml:space="preserve">Do’s and Don’ts</w:t>
      </w:r>
    </w:p>
    <w:p>
      <w:pPr>
        <w:sectPr>
          <w:headerReference w:type="default" r:id="rId6"/>
          <w:footerReference w:type="default" r:id="rId7"/>
          <w:pgSz w:w="11906" w:h="16838" w:orient="portrait"/>
          <w:pgMar w:top="1800" w:right="1440" w:bottom="1440" w:left="1440" w:header="708" w:footer="708" w:gutter="0"/>
          <w:pgNumType/>
          <w:docGrid w:linePitch="360"/>
        </w:sectPr>
      </w:pPr>
    </w:p>
    <w:p>
      <w:pPr>
        <w:spacing w:after="80"/>
      </w:pPr>
      <w:r>
        <w:rPr>
          <w:rFonts w:ascii="Arial" w:cs="Arial" w:eastAsia="Arial" w:hAnsi="Arial"/>
          <w:b/>
          <w:bCs/>
          <w:color w:val="E8943A"/>
          <w:sz w:val="20"/>
          <w:szCs w:val="20"/>
        </w:rPr>
        <w:t xml:space="preserve">01</w:t>
      </w:r>
    </w:p>
    <w:p>
      <w:pPr>
        <w:pStyle w:val="Heading1"/>
        <w:spacing w:before="480" w:after="200"/>
      </w:pPr>
      <w:r>
        <w:rPr>
          <w:rFonts w:ascii="Arial" w:cs="Arial" w:eastAsia="Arial" w:hAnsi="Arial"/>
          <w:b/>
          <w:bCs/>
          <w:color w:val="0B1D3A"/>
          <w:sz w:val="36"/>
          <w:szCs w:val="36"/>
        </w:rPr>
        <w:t xml:space="preserve">Brand Overview</w:t>
      </w:r>
    </w:p>
    <w:p>
      <w:pPr>
        <w:pBdr>
          <w:bottom w:val="single" w:color="0B1D3A" w:sz="4" w:space="8"/>
        </w:pBdr>
        <w:spacing w:before="200" w:after="200"/>
      </w:pPr>
    </w:p>
    <w:p>
      <w:pPr>
        <w:spacing w:after="160" w:line="340"/>
      </w:pPr>
      <w:r>
        <w:rPr>
          <w:rFonts w:ascii="Arial" w:cs="Arial" w:eastAsia="Arial" w:hAnsi="Arial"/>
          <w:color w:val="374151"/>
          <w:sz w:val="22"/>
          <w:szCs w:val="22"/>
        </w:rPr>
        <w:t xml:space="preserve">Theatrelog is an offline-first surgical logbook purpose-built for UK trainee surgeons preparing for ARCP portfolio reviews. It allows doctors to log operations on the go — even without internet — with seamless cloud synchronisation when connectivity returns.</w:t>
      </w:r>
    </w:p>
    <w:p>
      <w:pPr>
        <w:spacing w:after="160" w:line="340"/>
      </w:pPr>
      <w:r>
        <w:rPr>
          <w:rFonts w:ascii="Arial" w:cs="Arial" w:eastAsia="Arial" w:hAnsi="Arial"/>
          <w:color w:val="374151"/>
          <w:sz w:val="22"/>
          <w:szCs w:val="22"/>
        </w:rPr>
        <w:t xml:space="preserve">The application tracks procedures, involvement levels, and complications, then generates portfolio summaries ready for review. Theatrelog eliminates the spreadsheet chaos and last-minute scrambles that plague surgical trainees across the UK.</w:t>
      </w:r>
    </w:p>
    <w:p>
      <w:pPr>
        <w:spacing w:before="2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943A" w:sz="1"/>
              <w:left w:val="single" w:color="E8943A" w:sz="12"/>
              <w:bottom w:val="single" w:color="E8943A" w:sz="1"/>
              <w:right w:val="single" w:color="E8943A" w:sz="1"/>
            </w:tcBorders>
            <w:shd w:fill="FDF3E7" w:val="clear"/>
            <w:tcMar>
              <w:top w:type="dxa" w:w="160"/>
              <w:left w:type="dxa" w:w="200"/>
              <w:bottom w:type="dxa" w:w="160"/>
              <w:right w:type="dxa" w:w="200"/>
            </w:tcMar>
          </w:tcPr>
          <w:p>
            <w:pPr>
              <w:spacing w:after="80"/>
            </w:pPr>
            <w:r>
              <w:rPr>
                <w:rFonts w:ascii="Arial" w:cs="Arial" w:eastAsia="Arial" w:hAnsi="Arial"/>
                <w:b/>
                <w:bCs/>
                <w:color w:val="0B1D3A"/>
                <w:sz w:val="22"/>
                <w:szCs w:val="22"/>
              </w:rPr>
              <w:t xml:space="preserve">The Problem We Solve</w:t>
            </w:r>
          </w:p>
          <w:p>
            <w:pPr>
              <w:spacing w:after="0" w:line="320"/>
            </w:pPr>
            <w:r>
              <w:rPr>
                <w:rFonts w:ascii="Arial" w:cs="Arial" w:eastAsia="Arial" w:hAnsi="Arial"/>
                <w:color w:val="374151"/>
                <w:sz w:val="20"/>
                <w:szCs w:val="20"/>
              </w:rPr>
              <w:t xml:space="preserve">UK surgical trainees lose hours every week wrestling with clunky systems, fragile spreadsheets, and unreliable connectivity in theatre. When ARCP review time arrives, the scramble to compile a credible portfolio causes unnecessary stress at the worst possible moment. Theatrelog exists to make this entire process effortless.</w:t>
            </w:r>
          </w:p>
        </w:tc>
      </w:tr>
    </w:tbl>
    <w:p>
      <w:r>
        <w:br w:type="page"/>
      </w:r>
    </w:p>
    <w:p>
      <w:pPr>
        <w:spacing w:after="80"/>
      </w:pPr>
      <w:r>
        <w:rPr>
          <w:rFonts w:ascii="Arial" w:cs="Arial" w:eastAsia="Arial" w:hAnsi="Arial"/>
          <w:b/>
          <w:bCs/>
          <w:color w:val="E8943A"/>
          <w:sz w:val="20"/>
          <w:szCs w:val="20"/>
        </w:rPr>
        <w:t xml:space="preserve">02</w:t>
      </w:r>
    </w:p>
    <w:p>
      <w:pPr>
        <w:pStyle w:val="Heading1"/>
        <w:spacing w:before="480" w:after="200"/>
      </w:pPr>
      <w:r>
        <w:rPr>
          <w:rFonts w:ascii="Arial" w:cs="Arial" w:eastAsia="Arial" w:hAnsi="Arial"/>
          <w:b/>
          <w:bCs/>
          <w:color w:val="0B1D3A"/>
          <w:sz w:val="36"/>
          <w:szCs w:val="36"/>
        </w:rPr>
        <w:t xml:space="preserve">Mission &amp; Positioning</w:t>
      </w:r>
    </w:p>
    <w:p>
      <w:pPr>
        <w:pBdr>
          <w:bottom w:val="single" w:color="0B1D3A" w:sz="4" w:space="8"/>
        </w:pBdr>
        <w:spacing w:before="200" w:after="200"/>
      </w:pPr>
    </w:p>
    <w:p>
      <w:pPr>
        <w:pStyle w:val="Heading2"/>
        <w:spacing w:before="360" w:after="160"/>
      </w:pPr>
      <w:r>
        <w:rPr>
          <w:rFonts w:ascii="Arial" w:cs="Arial" w:eastAsia="Arial" w:hAnsi="Arial"/>
          <w:b/>
          <w:bCs/>
          <w:color w:val="0B1D3A"/>
          <w:sz w:val="28"/>
          <w:szCs w:val="28"/>
        </w:rPr>
        <w:t xml:space="preserve">Mission Statement</w:t>
      </w:r>
    </w:p>
    <w:p>
      <w:pPr>
        <w:spacing w:after="160" w:line="340"/>
      </w:pPr>
      <w:r>
        <w:rPr>
          <w:rFonts w:ascii="Arial" w:cs="Arial" w:eastAsia="Arial" w:hAnsi="Arial"/>
          <w:color w:val="374151"/>
          <w:sz w:val="22"/>
          <w:szCs w:val="22"/>
        </w:rPr>
        <w:t xml:space="preserve">To give every UK surgical trainee a logbook that works the way they work — fast in theatre, organised for review, and always reliable.</w:t>
      </w:r>
    </w:p>
    <w:p>
      <w:pPr>
        <w:pStyle w:val="Heading2"/>
        <w:spacing w:before="360" w:after="160"/>
      </w:pPr>
      <w:r>
        <w:rPr>
          <w:rFonts w:ascii="Arial" w:cs="Arial" w:eastAsia="Arial" w:hAnsi="Arial"/>
          <w:b/>
          <w:bCs/>
          <w:color w:val="0B1D3A"/>
          <w:sz w:val="28"/>
          <w:szCs w:val="28"/>
        </w:rPr>
        <w:t xml:space="preserve">Positioning Statement</w:t>
      </w:r>
    </w:p>
    <w:p>
      <w:pPr>
        <w:spacing w:after="160" w:line="340"/>
      </w:pPr>
      <w:r>
        <w:rPr>
          <w:rFonts w:ascii="Arial" w:cs="Arial" w:eastAsia="Arial" w:hAnsi="Arial"/>
          <w:color w:val="374151"/>
          <w:sz w:val="22"/>
          <w:szCs w:val="22"/>
        </w:rPr>
        <w:t xml:space="preserve">Theatrelog is the surgical logbook built around the way UK trainees actually work — </w:t>
      </w:r>
      <w:r>
        <w:rPr>
          <w:rFonts w:ascii="Arial" w:cs="Arial" w:eastAsia="Arial" w:hAnsi="Arial"/>
          <w:b/>
          <w:bCs/>
          <w:color w:val="0B1D3A"/>
          <w:sz w:val="22"/>
          <w:szCs w:val="22"/>
        </w:rPr>
        <w:t xml:space="preserve">offline in theatre, organised for ARCP, and always ready when you need it.</w:t>
      </w:r>
    </w:p>
    <w:p>
      <w:pPr>
        <w:pStyle w:val="Heading2"/>
        <w:spacing w:before="360" w:after="160"/>
      </w:pPr>
      <w:r>
        <w:rPr>
          <w:rFonts w:ascii="Arial" w:cs="Arial" w:eastAsia="Arial" w:hAnsi="Arial"/>
          <w:b/>
          <w:bCs/>
          <w:color w:val="0B1D3A"/>
          <w:sz w:val="28"/>
          <w:szCs w:val="28"/>
        </w:rPr>
        <w:t xml:space="preserve">Brand Pillars</w:t>
      </w:r>
    </w:p>
    <w:p>
      <w:pPr>
        <w:spacing w:before="1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none" w:sz="0"/>
              <w:left w:val="none" w:sz="0"/>
              <w:bottom w:val="none" w:sz="0"/>
              <w:right w:val="none" w:sz="0"/>
            </w:tcBorders>
            <w:shd w:fill="E8EDF5" w:val="clear"/>
            <w:tcMar>
              <w:top w:type="dxa" w:w="200"/>
              <w:left w:type="dxa" w:w="200"/>
              <w:bottom w:type="dxa" w:w="200"/>
              <w:right w:type="dxa" w:w="200"/>
            </w:tcMar>
          </w:tcPr>
          <w:p>
            <w:pPr>
              <w:spacing w:after="120"/>
            </w:pPr>
            <w:r>
              <w:rPr>
                <w:rFonts w:ascii="Arial" w:cs="Arial" w:eastAsia="Arial" w:hAnsi="Arial"/>
                <w:b/>
                <w:bCs/>
                <w:color w:val="0B1D3A"/>
                <w:sz w:val="22"/>
                <w:szCs w:val="22"/>
              </w:rPr>
              <w:t xml:space="preserve">Reliability</w:t>
            </w:r>
          </w:p>
          <w:p>
            <w:pPr>
              <w:spacing w:after="0" w:line="300"/>
            </w:pPr>
            <w:r>
              <w:rPr>
                <w:rFonts w:ascii="Arial" w:cs="Arial" w:eastAsia="Arial" w:hAnsi="Arial"/>
                <w:color w:val="374151"/>
                <w:sz w:val="20"/>
                <w:szCs w:val="20"/>
              </w:rPr>
              <w:t xml:space="preserve">Offline-first architecture means no lost data, ever. Log between cases without hunting for Wi-Fi.</w:t>
            </w:r>
          </w:p>
        </w:tc>
        <w:tc>
          <w:tcPr>
            <w:tcW w:type="dxa" w:w="3009"/>
            <w:tcBorders>
              <w:top w:val="none" w:sz="0"/>
              <w:left w:val="none" w:sz="0"/>
              <w:bottom w:val="none" w:sz="0"/>
              <w:right w:val="none" w:sz="0"/>
            </w:tcBorders>
            <w:shd w:fill="E1F5EE" w:val="clear"/>
            <w:tcMar>
              <w:top w:type="dxa" w:w="200"/>
              <w:left w:type="dxa" w:w="200"/>
              <w:bottom w:type="dxa" w:w="200"/>
              <w:right w:type="dxa" w:w="200"/>
            </w:tcMar>
          </w:tcPr>
          <w:p>
            <w:pPr>
              <w:spacing w:after="120"/>
            </w:pPr>
            <w:r>
              <w:rPr>
                <w:rFonts w:ascii="Arial" w:cs="Arial" w:eastAsia="Arial" w:hAnsi="Arial"/>
                <w:b/>
                <w:bCs/>
                <w:color w:val="1D9E75"/>
                <w:sz w:val="22"/>
                <w:szCs w:val="22"/>
              </w:rPr>
              <w:t xml:space="preserve">Efficiency</w:t>
            </w:r>
          </w:p>
          <w:p>
            <w:pPr>
              <w:spacing w:after="0" w:line="300"/>
            </w:pPr>
            <w:r>
              <w:rPr>
                <w:rFonts w:ascii="Arial" w:cs="Arial" w:eastAsia="Arial" w:hAnsi="Arial"/>
                <w:color w:val="374151"/>
                <w:sz w:val="20"/>
                <w:szCs w:val="20"/>
              </w:rPr>
              <w:t xml:space="preserve">Log cases in seconds. Portfolio summaries generated automatically. No manual compilation.</w:t>
            </w:r>
          </w:p>
        </w:tc>
        <w:tc>
          <w:tcPr>
            <w:tcW w:type="dxa" w:w="3009"/>
            <w:tcBorders>
              <w:top w:val="none" w:sz="0"/>
              <w:left w:val="none" w:sz="0"/>
              <w:bottom w:val="none" w:sz="0"/>
              <w:right w:val="none" w:sz="0"/>
            </w:tcBorders>
            <w:shd w:fill="FDF3E7" w:val="clear"/>
            <w:tcMar>
              <w:top w:type="dxa" w:w="200"/>
              <w:left w:type="dxa" w:w="200"/>
              <w:bottom w:type="dxa" w:w="200"/>
              <w:right w:type="dxa" w:w="200"/>
            </w:tcMar>
          </w:tcPr>
          <w:p>
            <w:pPr>
              <w:spacing w:after="120"/>
            </w:pPr>
            <w:r>
              <w:rPr>
                <w:rFonts w:ascii="Arial" w:cs="Arial" w:eastAsia="Arial" w:hAnsi="Arial"/>
                <w:b/>
                <w:bCs/>
                <w:color w:val="E8943A"/>
                <w:sz w:val="22"/>
                <w:szCs w:val="22"/>
              </w:rPr>
              <w:t xml:space="preserve">Career Confidence</w:t>
            </w:r>
          </w:p>
          <w:p>
            <w:pPr>
              <w:spacing w:after="0" w:line="300"/>
            </w:pPr>
            <w:r>
              <w:rPr>
                <w:rFonts w:ascii="Arial" w:cs="Arial" w:eastAsia="Arial" w:hAnsi="Arial"/>
                <w:color w:val="374151"/>
                <w:sz w:val="20"/>
                <w:szCs w:val="20"/>
              </w:rPr>
              <w:t xml:space="preserve">Walk into ARCP prepared, not panicked. Structured around CST, ST, and CESR pathways.</w:t>
            </w:r>
          </w:p>
        </w:tc>
      </w:tr>
    </w:tbl>
    <w:p>
      <w:r>
        <w:br w:type="page"/>
      </w:r>
    </w:p>
    <w:p>
      <w:pPr>
        <w:spacing w:after="80"/>
      </w:pPr>
      <w:r>
        <w:rPr>
          <w:rFonts w:ascii="Arial" w:cs="Arial" w:eastAsia="Arial" w:hAnsi="Arial"/>
          <w:b/>
          <w:bCs/>
          <w:color w:val="E8943A"/>
          <w:sz w:val="20"/>
          <w:szCs w:val="20"/>
        </w:rPr>
        <w:t xml:space="preserve">03</w:t>
      </w:r>
    </w:p>
    <w:p>
      <w:pPr>
        <w:pStyle w:val="Heading1"/>
        <w:spacing w:before="480" w:after="200"/>
      </w:pPr>
      <w:r>
        <w:rPr>
          <w:rFonts w:ascii="Arial" w:cs="Arial" w:eastAsia="Arial" w:hAnsi="Arial"/>
          <w:b/>
          <w:bCs/>
          <w:color w:val="0B1D3A"/>
          <w:sz w:val="36"/>
          <w:szCs w:val="36"/>
        </w:rPr>
        <w:t xml:space="preserve">Brand Personality &amp; Voice</w:t>
      </w:r>
    </w:p>
    <w:p>
      <w:pPr>
        <w:pBdr>
          <w:bottom w:val="single" w:color="0B1D3A" w:sz="4" w:space="8"/>
        </w:pBdr>
        <w:spacing w:before="200" w:after="200"/>
      </w:pPr>
    </w:p>
    <w:p>
      <w:pPr>
        <w:pStyle w:val="Heading2"/>
        <w:spacing w:before="360" w:after="160"/>
      </w:pPr>
      <w:r>
        <w:rPr>
          <w:rFonts w:ascii="Arial" w:cs="Arial" w:eastAsia="Arial" w:hAnsi="Arial"/>
          <w:b/>
          <w:bCs/>
          <w:color w:val="0B1D3A"/>
          <w:sz w:val="28"/>
          <w:szCs w:val="28"/>
        </w:rPr>
        <w:t xml:space="preserve">Brand Personality</w:t>
      </w:r>
    </w:p>
    <w:p>
      <w:pPr>
        <w:spacing w:after="160" w:line="340"/>
      </w:pPr>
      <w:r>
        <w:rPr>
          <w:rFonts w:ascii="Arial" w:cs="Arial" w:eastAsia="Arial" w:hAnsi="Arial"/>
          <w:color w:val="374151"/>
          <w:sz w:val="22"/>
          <w:szCs w:val="22"/>
        </w:rPr>
        <w:t xml:space="preserve">Theatrelog should feel like a sharp, competent colleague — not a corporate vendor or a patronising health-tech startup. Think “calm senior reg who’s got your back” rather than “Silicon Valley disruption.”</w:t>
      </w:r>
    </w:p>
    <w:p>
      <w:pPr>
        <w:pStyle w:val="Heading2"/>
        <w:spacing w:before="360" w:after="160"/>
      </w:pPr>
      <w:r>
        <w:rPr>
          <w:rFonts w:ascii="Arial" w:cs="Arial" w:eastAsia="Arial" w:hAnsi="Arial"/>
          <w:b/>
          <w:bCs/>
          <w:color w:val="0B1D3A"/>
          <w:sz w:val="28"/>
          <w:szCs w:val="28"/>
        </w:rPr>
        <w:t xml:space="preserve">Voice Attributes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7"/>
        <w:gridCol w:w="2256"/>
      </w:tblGrid>
      <w:tr>
        <w:tc>
          <w:tcPr>
            <w:tcW w:type="dxa" w:w="2256"/>
            <w:tcBorders>
              <w:top w:val="single" w:color="D1D5DB" w:sz="1"/>
              <w:left w:val="single" w:color="D1D5DB" w:sz="1"/>
              <w:bottom w:val="single" w:color="D1D5DB" w:sz="1"/>
              <w:right w:val="single" w:color="D1D5DB" w:sz="1"/>
            </w:tcBorders>
            <w:tcMar>
              <w:top w:type="dxa" w:w="160"/>
              <w:left w:type="dxa" w:w="160"/>
              <w:bottom w:type="dxa" w:w="160"/>
              <w:right w:type="dxa" w:w="160"/>
            </w:tcMar>
          </w:tcPr>
          <w:p>
            <w:pPr>
              <w:spacing w:after="80"/>
            </w:pPr>
            <w:r>
              <w:rPr>
                <w:rFonts w:ascii="Arial" w:cs="Arial" w:eastAsia="Arial" w:hAnsi="Arial"/>
                <w:b/>
                <w:bCs/>
                <w:color w:val="0B1D3A"/>
                <w:sz w:val="22"/>
                <w:szCs w:val="22"/>
              </w:rPr>
              <w:t xml:space="preserve">Confident</w:t>
            </w:r>
          </w:p>
          <w:p>
            <w:pPr>
              <w:spacing w:after="0" w:line="300"/>
            </w:pPr>
            <w:r>
              <w:rPr>
                <w:rFonts w:ascii="Arial" w:cs="Arial" w:eastAsia="Arial" w:hAnsi="Arial"/>
                <w:color w:val="6B7280"/>
                <w:sz w:val="20"/>
                <w:szCs w:val="20"/>
              </w:rPr>
              <w:t xml:space="preserve">We know what we do and do it well</w:t>
            </w:r>
          </w:p>
        </w:tc>
        <w:tc>
          <w:tcPr>
            <w:tcW w:type="dxa" w:w="2257"/>
            <w:tcBorders>
              <w:top w:val="single" w:color="D1D5DB" w:sz="1"/>
              <w:left w:val="single" w:color="D1D5DB" w:sz="1"/>
              <w:bottom w:val="single" w:color="D1D5DB" w:sz="1"/>
              <w:right w:val="single" w:color="D1D5DB" w:sz="1"/>
            </w:tcBorders>
            <w:tcMar>
              <w:top w:type="dxa" w:w="160"/>
              <w:left w:type="dxa" w:w="160"/>
              <w:bottom w:type="dxa" w:w="160"/>
              <w:right w:type="dxa" w:w="160"/>
            </w:tcMar>
          </w:tcPr>
          <w:p>
            <w:pPr>
              <w:spacing w:after="80"/>
            </w:pPr>
            <w:r>
              <w:rPr>
                <w:rFonts w:ascii="Arial" w:cs="Arial" w:eastAsia="Arial" w:hAnsi="Arial"/>
                <w:b/>
                <w:bCs/>
                <w:color w:val="0B1D3A"/>
                <w:sz w:val="22"/>
                <w:szCs w:val="22"/>
              </w:rPr>
              <w:t xml:space="preserve">Concise</w:t>
            </w:r>
          </w:p>
          <w:p>
            <w:pPr>
              <w:spacing w:after="0" w:line="300"/>
            </w:pPr>
            <w:r>
              <w:rPr>
                <w:rFonts w:ascii="Arial" w:cs="Arial" w:eastAsia="Arial" w:hAnsi="Arial"/>
                <w:color w:val="6B7280"/>
                <w:sz w:val="20"/>
                <w:szCs w:val="20"/>
              </w:rPr>
              <w:t xml:space="preserve">No waffle. Say it once, say it clearly</w:t>
            </w:r>
          </w:p>
        </w:tc>
        <w:tc>
          <w:tcPr>
            <w:tcW w:type="dxa" w:w="2256"/>
            <w:tcBorders>
              <w:top w:val="single" w:color="D1D5DB" w:sz="1"/>
              <w:left w:val="single" w:color="D1D5DB" w:sz="1"/>
              <w:bottom w:val="single" w:color="D1D5DB" w:sz="1"/>
              <w:right w:val="single" w:color="D1D5DB" w:sz="1"/>
            </w:tcBorders>
            <w:tcMar>
              <w:top w:type="dxa" w:w="160"/>
              <w:left w:type="dxa" w:w="160"/>
              <w:bottom w:type="dxa" w:w="160"/>
              <w:right w:type="dxa" w:w="160"/>
            </w:tcMar>
          </w:tcPr>
          <w:p>
            <w:pPr>
              <w:spacing w:after="80"/>
            </w:pPr>
            <w:r>
              <w:rPr>
                <w:rFonts w:ascii="Arial" w:cs="Arial" w:eastAsia="Arial" w:hAnsi="Arial"/>
                <w:b/>
                <w:bCs/>
                <w:color w:val="0B1D3A"/>
                <w:sz w:val="22"/>
                <w:szCs w:val="22"/>
              </w:rPr>
              <w:t xml:space="preserve">Warm</w:t>
            </w:r>
          </w:p>
          <w:p>
            <w:pPr>
              <w:spacing w:after="0" w:line="300"/>
            </w:pPr>
            <w:r>
              <w:rPr>
                <w:rFonts w:ascii="Arial" w:cs="Arial" w:eastAsia="Arial" w:hAnsi="Arial"/>
                <w:color w:val="6B7280"/>
                <w:sz w:val="20"/>
                <w:szCs w:val="20"/>
              </w:rPr>
              <w:t xml:space="preserve">Supportive, not clinical or robotic</w:t>
            </w:r>
          </w:p>
        </w:tc>
        <w:tc>
          <w:tcPr>
            <w:tcW w:type="dxa" w:w="2257"/>
            <w:tcBorders>
              <w:top w:val="single" w:color="D1D5DB" w:sz="1"/>
              <w:left w:val="single" w:color="D1D5DB" w:sz="1"/>
              <w:bottom w:val="single" w:color="D1D5DB" w:sz="1"/>
              <w:right w:val="single" w:color="D1D5DB" w:sz="1"/>
            </w:tcBorders>
            <w:tcMar>
              <w:top w:type="dxa" w:w="160"/>
              <w:left w:type="dxa" w:w="160"/>
              <w:bottom w:type="dxa" w:w="160"/>
              <w:right w:type="dxa" w:w="160"/>
            </w:tcMar>
          </w:tcPr>
          <w:p>
            <w:pPr>
              <w:spacing w:after="80"/>
            </w:pPr>
            <w:r>
              <w:rPr>
                <w:rFonts w:ascii="Arial" w:cs="Arial" w:eastAsia="Arial" w:hAnsi="Arial"/>
                <w:b/>
                <w:bCs/>
                <w:color w:val="0B1D3A"/>
                <w:sz w:val="22"/>
                <w:szCs w:val="22"/>
              </w:rPr>
              <w:t xml:space="preserve">Subtly British</w:t>
            </w:r>
          </w:p>
          <w:p>
            <w:pPr>
              <w:spacing w:after="0" w:line="300"/>
            </w:pPr>
            <w:r>
              <w:rPr>
                <w:rFonts w:ascii="Arial" w:cs="Arial" w:eastAsia="Arial" w:hAnsi="Arial"/>
                <w:color w:val="6B7280"/>
                <w:sz w:val="20"/>
                <w:szCs w:val="20"/>
              </w:rPr>
              <w:t xml:space="preserve">Dry wit welcome, jingoism not</w:t>
            </w:r>
          </w:p>
        </w:tc>
      </w:tr>
    </w:tbl>
    <w:p>
      <w:pPr>
        <w:spacing w:before="200" w:after="0"/>
      </w:pPr>
    </w:p>
    <w:p>
      <w:pPr>
        <w:pStyle w:val="Heading2"/>
        <w:spacing w:before="360" w:after="160"/>
      </w:pPr>
      <w:r>
        <w:rPr>
          <w:rFonts w:ascii="Arial" w:cs="Arial" w:eastAsia="Arial" w:hAnsi="Arial"/>
          <w:b/>
          <w:bCs/>
          <w:color w:val="0B1D3A"/>
          <w:sz w:val="28"/>
          <w:szCs w:val="28"/>
        </w:rPr>
        <w:t xml:space="preserve">Tone Examples</w:t>
      </w:r>
    </w:p>
    <w:p>
      <w:pPr>
        <w:spacing w:before="240" w:after="120"/>
      </w:pPr>
      <w:r>
        <w:rPr>
          <w:rFonts w:ascii="Arial" w:cs="Arial" w:eastAsia="Arial" w:hAnsi="Arial"/>
          <w:b/>
          <w:bCs/>
          <w:color w:val="374151"/>
          <w:sz w:val="24"/>
          <w:szCs w:val="24"/>
        </w:rPr>
        <w:t xml:space="preserve">Website Hero Copy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9E75" w:sz="1"/>
              <w:left w:val="single" w:color="1D9E75" w:sz="12"/>
              <w:bottom w:val="single" w:color="1D9E75" w:sz="1"/>
              <w:right w:val="single" w:color="1D9E75" w:sz="1"/>
            </w:tcBorders>
            <w:shd w:fill="E1F5EE" w:val="clear"/>
            <w:tcMar>
              <w:top w:type="dxa" w:w="160"/>
              <w:left w:type="dxa" w:w="200"/>
              <w:bottom w:type="dxa" w:w="160"/>
              <w:right w:type="dxa" w:w="200"/>
            </w:tcMar>
          </w:tcPr>
          <w:p>
            <w:pPr>
              <w:spacing w:after="80"/>
            </w:pPr>
            <w:r>
              <w:rPr>
                <w:rFonts w:ascii="Arial" w:cs="Arial" w:eastAsia="Arial" w:hAnsi="Arial"/>
                <w:b/>
                <w:bCs/>
                <w:color w:val="0B1D3A"/>
                <w:sz w:val="22"/>
                <w:szCs w:val="22"/>
              </w:rPr>
              <w:t xml:space="preserve">Do this</w:t>
            </w:r>
          </w:p>
          <w:p>
            <w:pPr>
              <w:spacing w:after="0" w:line="320"/>
            </w:pPr>
            <w:r>
              <w:rPr>
                <w:rFonts w:ascii="Arial" w:cs="Arial" w:eastAsia="Arial" w:hAnsi="Arial"/>
                <w:color w:val="374151"/>
                <w:sz w:val="20"/>
                <w:szCs w:val="20"/>
              </w:rPr>
              <w:t xml:space="preserve">“Log cases offline in theatre. Generate ARCP-ready summaries in seconds. No spreadsheets, no stress.”</w:t>
            </w:r>
          </w:p>
        </w:tc>
      </w:tr>
    </w:tbl>
    <w:p>
      <w:pPr>
        <w:spacing w:before="1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85A30" w:sz="1"/>
              <w:left w:val="single" w:color="D85A30" w:sz="12"/>
              <w:bottom w:val="single" w:color="D85A30" w:sz="1"/>
              <w:right w:val="single" w:color="D85A30" w:sz="1"/>
            </w:tcBorders>
            <w:shd w:fill="FEF2F2" w:val="clear"/>
            <w:tcMar>
              <w:top w:type="dxa" w:w="160"/>
              <w:left w:type="dxa" w:w="200"/>
              <w:bottom w:type="dxa" w:w="160"/>
              <w:right w:type="dxa" w:w="200"/>
            </w:tcMar>
          </w:tcPr>
          <w:p>
            <w:pPr>
              <w:spacing w:after="80"/>
            </w:pPr>
            <w:r>
              <w:rPr>
                <w:rFonts w:ascii="Arial" w:cs="Arial" w:eastAsia="Arial" w:hAnsi="Arial"/>
                <w:b/>
                <w:bCs/>
                <w:color w:val="0B1D3A"/>
                <w:sz w:val="22"/>
                <w:szCs w:val="22"/>
              </w:rPr>
              <w:t xml:space="preserve">Not this</w:t>
            </w:r>
          </w:p>
          <w:p>
            <w:pPr>
              <w:spacing w:after="0" w:line="320"/>
            </w:pPr>
            <w:r>
              <w:rPr>
                <w:rFonts w:ascii="Arial" w:cs="Arial" w:eastAsia="Arial" w:hAnsi="Arial"/>
                <w:color w:val="374151"/>
                <w:sz w:val="20"/>
                <w:szCs w:val="20"/>
              </w:rPr>
              <w:t xml:space="preserve">“Revolutionising surgical training with our AI-powered, cloud-native logbook platform for next-generation healthcare professionals.”</w:t>
            </w:r>
          </w:p>
        </w:tc>
      </w:tr>
    </w:tbl>
    <w:p>
      <w:pPr>
        <w:spacing w:before="200" w:after="0"/>
      </w:pPr>
    </w:p>
    <w:p>
      <w:pPr>
        <w:spacing w:before="240" w:after="120"/>
      </w:pPr>
      <w:r>
        <w:rPr>
          <w:rFonts w:ascii="Arial" w:cs="Arial" w:eastAsia="Arial" w:hAnsi="Arial"/>
          <w:b/>
          <w:bCs/>
          <w:color w:val="374151"/>
          <w:sz w:val="24"/>
          <w:szCs w:val="24"/>
        </w:rPr>
        <w:t xml:space="preserve">Error Messages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9E75" w:sz="1"/>
              <w:left w:val="single" w:color="1D9E75" w:sz="12"/>
              <w:bottom w:val="single" w:color="1D9E75" w:sz="1"/>
              <w:right w:val="single" w:color="1D9E75" w:sz="1"/>
            </w:tcBorders>
            <w:shd w:fill="E1F5EE" w:val="clear"/>
            <w:tcMar>
              <w:top w:type="dxa" w:w="160"/>
              <w:left w:type="dxa" w:w="200"/>
              <w:bottom w:type="dxa" w:w="160"/>
              <w:right w:type="dxa" w:w="200"/>
            </w:tcMar>
          </w:tcPr>
          <w:p>
            <w:pPr>
              <w:spacing w:after="80"/>
            </w:pPr>
            <w:r>
              <w:rPr>
                <w:rFonts w:ascii="Arial" w:cs="Arial" w:eastAsia="Arial" w:hAnsi="Arial"/>
                <w:b/>
                <w:bCs/>
                <w:color w:val="0B1D3A"/>
                <w:sz w:val="22"/>
                <w:szCs w:val="22"/>
              </w:rPr>
              <w:t xml:space="preserve">Do this</w:t>
            </w:r>
          </w:p>
          <w:p>
            <w:pPr>
              <w:spacing w:after="0" w:line="320"/>
            </w:pPr>
            <w:r>
              <w:rPr>
                <w:rFonts w:ascii="Arial" w:cs="Arial" w:eastAsia="Arial" w:hAnsi="Arial"/>
                <w:color w:val="374151"/>
                <w:sz w:val="20"/>
                <w:szCs w:val="20"/>
              </w:rPr>
              <w:t xml:space="preserve">“Couldn’t sync just now. Your data is safe — we’ll try again when you’re back online.”</w:t>
            </w:r>
          </w:p>
        </w:tc>
      </w:tr>
    </w:tbl>
    <w:p>
      <w:pPr>
        <w:spacing w:before="1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85A30" w:sz="1"/>
              <w:left w:val="single" w:color="D85A30" w:sz="12"/>
              <w:bottom w:val="single" w:color="D85A30" w:sz="1"/>
              <w:right w:val="single" w:color="D85A30" w:sz="1"/>
            </w:tcBorders>
            <w:shd w:fill="FEF2F2" w:val="clear"/>
            <w:tcMar>
              <w:top w:type="dxa" w:w="160"/>
              <w:left w:type="dxa" w:w="200"/>
              <w:bottom w:type="dxa" w:w="160"/>
              <w:right w:type="dxa" w:w="200"/>
            </w:tcMar>
          </w:tcPr>
          <w:p>
            <w:pPr>
              <w:spacing w:after="80"/>
            </w:pPr>
            <w:r>
              <w:rPr>
                <w:rFonts w:ascii="Arial" w:cs="Arial" w:eastAsia="Arial" w:hAnsi="Arial"/>
                <w:b/>
                <w:bCs/>
                <w:color w:val="0B1D3A"/>
                <w:sz w:val="22"/>
                <w:szCs w:val="22"/>
              </w:rPr>
              <w:t xml:space="preserve">Not this</w:t>
            </w:r>
          </w:p>
          <w:p>
            <w:pPr>
              <w:spacing w:after="0" w:line="320"/>
            </w:pPr>
            <w:r>
              <w:rPr>
                <w:rFonts w:ascii="Arial" w:cs="Arial" w:eastAsia="Arial" w:hAnsi="Arial"/>
                <w:color w:val="374151"/>
                <w:sz w:val="20"/>
                <w:szCs w:val="20"/>
              </w:rPr>
              <w:t xml:space="preserve">“Synchronisation error: connection timeout. Error code 408. Please retry.”</w:t>
            </w:r>
          </w:p>
        </w:tc>
      </w:tr>
    </w:tbl>
    <w:p>
      <w:r>
        <w:br w:type="page"/>
      </w:r>
    </w:p>
    <w:p>
      <w:pPr>
        <w:spacing w:after="80"/>
      </w:pPr>
      <w:r>
        <w:rPr>
          <w:rFonts w:ascii="Arial" w:cs="Arial" w:eastAsia="Arial" w:hAnsi="Arial"/>
          <w:b/>
          <w:bCs/>
          <w:color w:val="E8943A"/>
          <w:sz w:val="20"/>
          <w:szCs w:val="20"/>
        </w:rPr>
        <w:t xml:space="preserve">04</w:t>
      </w:r>
    </w:p>
    <w:p>
      <w:pPr>
        <w:pStyle w:val="Heading1"/>
        <w:spacing w:before="480" w:after="200"/>
      </w:pPr>
      <w:r>
        <w:rPr>
          <w:rFonts w:ascii="Arial" w:cs="Arial" w:eastAsia="Arial" w:hAnsi="Arial"/>
          <w:b/>
          <w:bCs/>
          <w:color w:val="0B1D3A"/>
          <w:sz w:val="36"/>
          <w:szCs w:val="36"/>
        </w:rPr>
        <w:t xml:space="preserve">Colour Palette</w:t>
      </w:r>
    </w:p>
    <w:p>
      <w:pPr>
        <w:pBdr>
          <w:bottom w:val="single" w:color="0B1D3A" w:sz="4" w:space="8"/>
        </w:pBdr>
        <w:spacing w:before="200" w:after="200"/>
      </w:pPr>
    </w:p>
    <w:p>
      <w:pPr>
        <w:spacing w:after="160" w:line="340"/>
      </w:pPr>
      <w:r>
        <w:rPr>
          <w:rFonts w:ascii="Arial" w:cs="Arial" w:eastAsia="Arial" w:hAnsi="Arial"/>
          <w:color w:val="374151"/>
          <w:sz w:val="22"/>
          <w:szCs w:val="22"/>
        </w:rPr>
        <w:t xml:space="preserve">The Theatrelog colour palette is designed to feel premium and calm — like a well-designed productivity tool, not a clinical app. We deliberately avoid the ubiquitous “medical blue” used by most NHS and health-tech products.</w:t>
      </w:r>
    </w:p>
    <w:p>
      <w:pPr>
        <w:pStyle w:val="Heading2"/>
        <w:spacing w:before="360" w:after="160"/>
      </w:pPr>
      <w:r>
        <w:rPr>
          <w:rFonts w:ascii="Arial" w:cs="Arial" w:eastAsia="Arial" w:hAnsi="Arial"/>
          <w:b/>
          <w:bCs/>
          <w:color w:val="0B1D3A"/>
          <w:sz w:val="28"/>
          <w:szCs w:val="28"/>
        </w:rPr>
        <w:t xml:space="preserve">Primary Colours</w:t>
      </w:r>
    </w:p>
    <w:p>
      <w:pPr>
        <w:spacing w:before="1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rHeight w:val="900" w:hRule="exact"/>
        </w:trPr>
        <w:tc>
          <w:tcPr>
            <w:tcW w:type="dxa" w:w="3008"/>
            <w:tcBorders>
              <w:top w:val="none" w:sz="0"/>
              <w:left w:val="none" w:sz="0"/>
              <w:bottom w:val="none" w:sz="0"/>
              <w:right w:val="none" w:sz="0"/>
            </w:tcBorders>
            <w:shd w:fill="0B1D3A" w:val="clear"/>
            <w:vAlign w:val="center"/>
          </w:tcPr>
          <w:p>
            <w:pPr>
              <w:jc w:val="center"/>
            </w:pPr>
          </w:p>
        </w:tc>
        <w:tc>
          <w:tcPr>
            <w:tcW w:type="dxa" w:w="3008"/>
            <w:tcBorders>
              <w:top w:val="none" w:sz="0"/>
              <w:left w:val="none" w:sz="0"/>
              <w:bottom w:val="none" w:sz="0"/>
              <w:right w:val="none" w:sz="0"/>
            </w:tcBorders>
            <w:shd w:fill="E8943A" w:val="clear"/>
            <w:vAlign w:val="center"/>
          </w:tcPr>
          <w:p>
            <w:pPr>
              <w:jc w:val="center"/>
            </w:pPr>
          </w:p>
        </w:tc>
        <w:tc>
          <w:tcPr>
            <w:tcW w:type="dxa" w:w="3008"/>
            <w:tcBorders>
              <w:top w:val="none" w:sz="0"/>
              <w:left w:val="none" w:sz="0"/>
              <w:bottom w:val="none" w:sz="0"/>
              <w:right w:val="none" w:sz="0"/>
            </w:tcBorders>
            <w:shd w:fill="FFFFFF" w:val="clear"/>
            <w:vAlign w:val="center"/>
          </w:tcPr>
          <w:p>
            <w:pPr>
              <w:jc w:val="center"/>
            </w:pPr>
          </w:p>
        </w:tc>
      </w:tr>
      <w:tr>
        <w:tc>
          <w:tcPr>
            <w:tcW w:type="dxa" w:w="3008"/>
            <w:tcBorders>
              <w:top w:val="none" w:sz="0"/>
              <w:left w:val="none" w:sz="0"/>
              <w:bottom w:val="none" w:sz="0"/>
              <w:right w:val="none" w:sz="0"/>
            </w:tcBorders>
            <w:tcMar>
              <w:top w:type="dxa" w:w="80"/>
              <w:left w:type="dxa" w:w="60"/>
              <w:bottom w:type="dxa" w:w="80"/>
              <w:right w:type="dxa" w:w="60"/>
            </w:tcMar>
          </w:tcPr>
          <w:p>
            <w:pPr>
              <w:spacing w:after="40"/>
              <w:jc w:val="center"/>
            </w:pPr>
            <w:r>
              <w:rPr>
                <w:rFonts w:ascii="Arial" w:cs="Arial" w:eastAsia="Arial" w:hAnsi="Arial"/>
                <w:b/>
                <w:bCs/>
                <w:color w:val="374151"/>
                <w:sz w:val="18"/>
                <w:szCs w:val="18"/>
              </w:rPr>
              <w:t xml:space="preserve">Navy</w:t>
            </w:r>
          </w:p>
          <w:p>
            <w:pPr>
              <w:jc w:val="center"/>
            </w:pPr>
            <w:r>
              <w:rPr>
                <w:rFonts w:ascii="Arial" w:cs="Arial" w:eastAsia="Arial" w:hAnsi="Arial"/>
                <w:color w:val="6B7280"/>
                <w:sz w:val="16"/>
                <w:szCs w:val="16"/>
              </w:rPr>
              <w:t xml:space="preserve">#0B1D3A</w:t>
            </w:r>
          </w:p>
        </w:tc>
        <w:tc>
          <w:tcPr>
            <w:tcW w:type="dxa" w:w="3008"/>
            <w:tcBorders>
              <w:top w:val="none" w:sz="0"/>
              <w:left w:val="none" w:sz="0"/>
              <w:bottom w:val="none" w:sz="0"/>
              <w:right w:val="none" w:sz="0"/>
            </w:tcBorders>
            <w:tcMar>
              <w:top w:type="dxa" w:w="80"/>
              <w:left w:type="dxa" w:w="60"/>
              <w:bottom w:type="dxa" w:w="80"/>
              <w:right w:type="dxa" w:w="60"/>
            </w:tcMar>
          </w:tcPr>
          <w:p>
            <w:pPr>
              <w:spacing w:after="40"/>
              <w:jc w:val="center"/>
            </w:pPr>
            <w:r>
              <w:rPr>
                <w:rFonts w:ascii="Arial" w:cs="Arial" w:eastAsia="Arial" w:hAnsi="Arial"/>
                <w:b/>
                <w:bCs/>
                <w:color w:val="374151"/>
                <w:sz w:val="18"/>
                <w:szCs w:val="18"/>
              </w:rPr>
              <w:t xml:space="preserve">Amber</w:t>
            </w:r>
          </w:p>
          <w:p>
            <w:pPr>
              <w:jc w:val="center"/>
            </w:pPr>
            <w:r>
              <w:rPr>
                <w:rFonts w:ascii="Arial" w:cs="Arial" w:eastAsia="Arial" w:hAnsi="Arial"/>
                <w:color w:val="6B7280"/>
                <w:sz w:val="16"/>
                <w:szCs w:val="16"/>
              </w:rPr>
              <w:t xml:space="preserve">#E8943A</w:t>
            </w:r>
          </w:p>
        </w:tc>
        <w:tc>
          <w:tcPr>
            <w:tcW w:type="dxa" w:w="3008"/>
            <w:tcBorders>
              <w:top w:val="none" w:sz="0"/>
              <w:left w:val="none" w:sz="0"/>
              <w:bottom w:val="none" w:sz="0"/>
              <w:right w:val="none" w:sz="0"/>
            </w:tcBorders>
            <w:tcMar>
              <w:top w:type="dxa" w:w="80"/>
              <w:left w:type="dxa" w:w="60"/>
              <w:bottom w:type="dxa" w:w="80"/>
              <w:right w:type="dxa" w:w="60"/>
            </w:tcMar>
          </w:tcPr>
          <w:p>
            <w:pPr>
              <w:spacing w:after="40"/>
              <w:jc w:val="center"/>
            </w:pPr>
            <w:r>
              <w:rPr>
                <w:rFonts w:ascii="Arial" w:cs="Arial" w:eastAsia="Arial" w:hAnsi="Arial"/>
                <w:b/>
                <w:bCs/>
                <w:color w:val="374151"/>
                <w:sz w:val="18"/>
                <w:szCs w:val="18"/>
              </w:rPr>
              <w:t xml:space="preserve">White</w:t>
            </w:r>
          </w:p>
          <w:p>
            <w:pPr>
              <w:jc w:val="center"/>
            </w:pPr>
            <w:r>
              <w:rPr>
                <w:rFonts w:ascii="Arial" w:cs="Arial" w:eastAsia="Arial" w:hAnsi="Arial"/>
                <w:color w:val="6B7280"/>
                <w:sz w:val="16"/>
                <w:szCs w:val="16"/>
              </w:rPr>
              <w:t xml:space="preserve">#FFFFFF</w:t>
            </w:r>
          </w:p>
        </w:tc>
      </w:tr>
    </w:tbl>
    <w:p>
      <w:pPr>
        <w:spacing w:before="300" w:after="0"/>
      </w:pPr>
    </w:p>
    <w:p>
      <w:pPr>
        <w:pStyle w:val="Heading2"/>
        <w:spacing w:before="360" w:after="160"/>
      </w:pPr>
      <w:r>
        <w:rPr>
          <w:rFonts w:ascii="Arial" w:cs="Arial" w:eastAsia="Arial" w:hAnsi="Arial"/>
          <w:b/>
          <w:bCs/>
          <w:color w:val="0B1D3A"/>
          <w:sz w:val="28"/>
          <w:szCs w:val="28"/>
        </w:rPr>
        <w:t xml:space="preserve">Secondary Colours</w:t>
      </w:r>
    </w:p>
    <w:p>
      <w:pPr>
        <w:spacing w:before="1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rHeight w:val="900" w:hRule="exact"/>
        </w:trPr>
        <w:tc>
          <w:tcPr>
            <w:tcW w:type="dxa" w:w="2256"/>
            <w:tcBorders>
              <w:top w:val="none" w:sz="0"/>
              <w:left w:val="none" w:sz="0"/>
              <w:bottom w:val="none" w:sz="0"/>
              <w:right w:val="none" w:sz="0"/>
            </w:tcBorders>
            <w:shd w:fill="1D9E75" w:val="clear"/>
            <w:vAlign w:val="center"/>
          </w:tcPr>
          <w:p>
            <w:pPr>
              <w:jc w:val="center"/>
            </w:pPr>
          </w:p>
        </w:tc>
        <w:tc>
          <w:tcPr>
            <w:tcW w:type="dxa" w:w="2256"/>
            <w:tcBorders>
              <w:top w:val="none" w:sz="0"/>
              <w:left w:val="none" w:sz="0"/>
              <w:bottom w:val="none" w:sz="0"/>
              <w:right w:val="none" w:sz="0"/>
            </w:tcBorders>
            <w:shd w:fill="D85A30" w:val="clear"/>
            <w:vAlign w:val="center"/>
          </w:tcPr>
          <w:p>
            <w:pPr>
              <w:jc w:val="center"/>
            </w:pPr>
          </w:p>
        </w:tc>
        <w:tc>
          <w:tcPr>
            <w:tcW w:type="dxa" w:w="2256"/>
            <w:tcBorders>
              <w:top w:val="none" w:sz="0"/>
              <w:left w:val="none" w:sz="0"/>
              <w:bottom w:val="none" w:sz="0"/>
              <w:right w:val="none" w:sz="0"/>
            </w:tcBorders>
            <w:shd w:fill="F5F5F5" w:val="clear"/>
            <w:vAlign w:val="center"/>
          </w:tcPr>
          <w:p>
            <w:pPr>
              <w:jc w:val="center"/>
            </w:pPr>
          </w:p>
        </w:tc>
        <w:tc>
          <w:tcPr>
            <w:tcW w:type="dxa" w:w="2256"/>
            <w:tcBorders>
              <w:top w:val="none" w:sz="0"/>
              <w:left w:val="none" w:sz="0"/>
              <w:bottom w:val="none" w:sz="0"/>
              <w:right w:val="none" w:sz="0"/>
            </w:tcBorders>
            <w:shd w:fill="6B7280" w:val="clear"/>
            <w:vAlign w:val="center"/>
          </w:tcPr>
          <w:p>
            <w:pPr>
              <w:jc w:val="center"/>
            </w:pPr>
          </w:p>
        </w:tc>
      </w:tr>
      <w:tr>
        <w:tc>
          <w:tcPr>
            <w:tcW w:type="dxa" w:w="2256"/>
            <w:tcBorders>
              <w:top w:val="none" w:sz="0"/>
              <w:left w:val="none" w:sz="0"/>
              <w:bottom w:val="none" w:sz="0"/>
              <w:right w:val="none" w:sz="0"/>
            </w:tcBorders>
            <w:tcMar>
              <w:top w:type="dxa" w:w="80"/>
              <w:left w:type="dxa" w:w="60"/>
              <w:bottom w:type="dxa" w:w="80"/>
              <w:right w:type="dxa" w:w="60"/>
            </w:tcMar>
          </w:tcPr>
          <w:p>
            <w:pPr>
              <w:spacing w:after="40"/>
              <w:jc w:val="center"/>
            </w:pPr>
            <w:r>
              <w:rPr>
                <w:rFonts w:ascii="Arial" w:cs="Arial" w:eastAsia="Arial" w:hAnsi="Arial"/>
                <w:b/>
                <w:bCs/>
                <w:color w:val="374151"/>
                <w:sz w:val="18"/>
                <w:szCs w:val="18"/>
              </w:rPr>
              <w:t xml:space="preserve">Teal</w:t>
            </w:r>
          </w:p>
          <w:p>
            <w:pPr>
              <w:jc w:val="center"/>
            </w:pPr>
            <w:r>
              <w:rPr>
                <w:rFonts w:ascii="Arial" w:cs="Arial" w:eastAsia="Arial" w:hAnsi="Arial"/>
                <w:color w:val="6B7280"/>
                <w:sz w:val="16"/>
                <w:szCs w:val="16"/>
              </w:rPr>
              <w:t xml:space="preserve">#1D9E75</w:t>
            </w:r>
          </w:p>
        </w:tc>
        <w:tc>
          <w:tcPr>
            <w:tcW w:type="dxa" w:w="2256"/>
            <w:tcBorders>
              <w:top w:val="none" w:sz="0"/>
              <w:left w:val="none" w:sz="0"/>
              <w:bottom w:val="none" w:sz="0"/>
              <w:right w:val="none" w:sz="0"/>
            </w:tcBorders>
            <w:tcMar>
              <w:top w:type="dxa" w:w="80"/>
              <w:left w:type="dxa" w:w="60"/>
              <w:bottom w:type="dxa" w:w="80"/>
              <w:right w:type="dxa" w:w="60"/>
            </w:tcMar>
          </w:tcPr>
          <w:p>
            <w:pPr>
              <w:spacing w:after="40"/>
              <w:jc w:val="center"/>
            </w:pPr>
            <w:r>
              <w:rPr>
                <w:rFonts w:ascii="Arial" w:cs="Arial" w:eastAsia="Arial" w:hAnsi="Arial"/>
                <w:b/>
                <w:bCs/>
                <w:color w:val="374151"/>
                <w:sz w:val="18"/>
                <w:szCs w:val="18"/>
              </w:rPr>
              <w:t xml:space="preserve">Coral</w:t>
            </w:r>
          </w:p>
          <w:p>
            <w:pPr>
              <w:jc w:val="center"/>
            </w:pPr>
            <w:r>
              <w:rPr>
                <w:rFonts w:ascii="Arial" w:cs="Arial" w:eastAsia="Arial" w:hAnsi="Arial"/>
                <w:color w:val="6B7280"/>
                <w:sz w:val="16"/>
                <w:szCs w:val="16"/>
              </w:rPr>
              <w:t xml:space="preserve">#D85A30</w:t>
            </w:r>
          </w:p>
        </w:tc>
        <w:tc>
          <w:tcPr>
            <w:tcW w:type="dxa" w:w="2256"/>
            <w:tcBorders>
              <w:top w:val="none" w:sz="0"/>
              <w:left w:val="none" w:sz="0"/>
              <w:bottom w:val="none" w:sz="0"/>
              <w:right w:val="none" w:sz="0"/>
            </w:tcBorders>
            <w:tcMar>
              <w:top w:type="dxa" w:w="80"/>
              <w:left w:type="dxa" w:w="60"/>
              <w:bottom w:type="dxa" w:w="80"/>
              <w:right w:type="dxa" w:w="60"/>
            </w:tcMar>
          </w:tcPr>
          <w:p>
            <w:pPr>
              <w:spacing w:after="40"/>
              <w:jc w:val="center"/>
            </w:pPr>
            <w:r>
              <w:rPr>
                <w:rFonts w:ascii="Arial" w:cs="Arial" w:eastAsia="Arial" w:hAnsi="Arial"/>
                <w:b/>
                <w:bCs/>
                <w:color w:val="374151"/>
                <w:sz w:val="18"/>
                <w:szCs w:val="18"/>
              </w:rPr>
              <w:t xml:space="preserve">Light Grey</w:t>
            </w:r>
          </w:p>
          <w:p>
            <w:pPr>
              <w:jc w:val="center"/>
            </w:pPr>
            <w:r>
              <w:rPr>
                <w:rFonts w:ascii="Arial" w:cs="Arial" w:eastAsia="Arial" w:hAnsi="Arial"/>
                <w:color w:val="6B7280"/>
                <w:sz w:val="16"/>
                <w:szCs w:val="16"/>
              </w:rPr>
              <w:t xml:space="preserve">#F5F5F5</w:t>
            </w:r>
          </w:p>
        </w:tc>
        <w:tc>
          <w:tcPr>
            <w:tcW w:type="dxa" w:w="2256"/>
            <w:tcBorders>
              <w:top w:val="none" w:sz="0"/>
              <w:left w:val="none" w:sz="0"/>
              <w:bottom w:val="none" w:sz="0"/>
              <w:right w:val="none" w:sz="0"/>
            </w:tcBorders>
            <w:tcMar>
              <w:top w:type="dxa" w:w="80"/>
              <w:left w:type="dxa" w:w="60"/>
              <w:bottom w:type="dxa" w:w="80"/>
              <w:right w:type="dxa" w:w="60"/>
            </w:tcMar>
          </w:tcPr>
          <w:p>
            <w:pPr>
              <w:spacing w:after="40"/>
              <w:jc w:val="center"/>
            </w:pPr>
            <w:r>
              <w:rPr>
                <w:rFonts w:ascii="Arial" w:cs="Arial" w:eastAsia="Arial" w:hAnsi="Arial"/>
                <w:b/>
                <w:bCs/>
                <w:color w:val="374151"/>
                <w:sz w:val="18"/>
                <w:szCs w:val="18"/>
              </w:rPr>
              <w:t xml:space="preserve">Mid Grey</w:t>
            </w:r>
          </w:p>
          <w:p>
            <w:pPr>
              <w:jc w:val="center"/>
            </w:pPr>
            <w:r>
              <w:rPr>
                <w:rFonts w:ascii="Arial" w:cs="Arial" w:eastAsia="Arial" w:hAnsi="Arial"/>
                <w:color w:val="6B7280"/>
                <w:sz w:val="16"/>
                <w:szCs w:val="16"/>
              </w:rPr>
              <w:t xml:space="preserve">#6B7280</w:t>
            </w:r>
          </w:p>
        </w:tc>
      </w:tr>
    </w:tbl>
    <w:p>
      <w:pPr>
        <w:spacing w:before="300" w:after="0"/>
      </w:pPr>
    </w:p>
    <w:p>
      <w:pPr>
        <w:pStyle w:val="Heading2"/>
        <w:spacing w:before="360" w:after="160"/>
      </w:pPr>
      <w:r>
        <w:rPr>
          <w:rFonts w:ascii="Arial" w:cs="Arial" w:eastAsia="Arial" w:hAnsi="Arial"/>
          <w:b/>
          <w:bCs/>
          <w:color w:val="0B1D3A"/>
          <w:sz w:val="28"/>
          <w:szCs w:val="28"/>
        </w:rPr>
        <w:t xml:space="preserve">Colour Usage</w:t>
      </w:r>
    </w:p>
    <w:p>
      <w:pPr>
        <w:pStyle w:val="ListParagraph"/>
        <w:numPr>
          <w:ilvl w:val="0"/>
          <w:numId w:val="2"/>
        </w:numPr>
        <w:spacing w:after="80" w:line="320"/>
      </w:pPr>
      <w:r>
        <w:rPr>
          <w:rFonts w:ascii="Arial" w:cs="Arial" w:eastAsia="Arial" w:hAnsi="Arial"/>
          <w:color w:val="374151"/>
          <w:sz w:val="22"/>
          <w:szCs w:val="22"/>
        </w:rPr>
        <w:t xml:space="preserve">Navy (#0B1D3A): Primary brand colour. Used for headings, navigation, key UI elements, and the logo wordmark “Theatre” portion.</w:t>
      </w:r>
    </w:p>
    <w:p>
      <w:pPr>
        <w:pStyle w:val="ListParagraph"/>
        <w:numPr>
          <w:ilvl w:val="0"/>
          <w:numId w:val="2"/>
        </w:numPr>
        <w:spacing w:after="80" w:line="320"/>
      </w:pPr>
      <w:r>
        <w:rPr>
          <w:rFonts w:ascii="Arial" w:cs="Arial" w:eastAsia="Arial" w:hAnsi="Arial"/>
          <w:color w:val="374151"/>
          <w:sz w:val="22"/>
          <w:szCs w:val="22"/>
        </w:rPr>
        <w:t xml:space="preserve">Amber (#E8943A): Accent colour. Used for CTAs, highlights, the “log” portion of the wordmark, the scalpel stroke in the icon mark, and active states.</w:t>
      </w:r>
    </w:p>
    <w:p>
      <w:pPr>
        <w:pStyle w:val="ListParagraph"/>
        <w:numPr>
          <w:ilvl w:val="0"/>
          <w:numId w:val="2"/>
        </w:numPr>
        <w:spacing w:after="80" w:line="320"/>
      </w:pPr>
      <w:r>
        <w:rPr>
          <w:rFonts w:ascii="Arial" w:cs="Arial" w:eastAsia="Arial" w:hAnsi="Arial"/>
          <w:color w:val="374151"/>
          <w:sz w:val="22"/>
          <w:szCs w:val="22"/>
        </w:rPr>
        <w:t xml:space="preserve">Teal (#1D9E75): Success and positive states. Used for confirmations, synced status, and completed items.</w:t>
      </w:r>
    </w:p>
    <w:p>
      <w:pPr>
        <w:pStyle w:val="ListParagraph"/>
        <w:numPr>
          <w:ilvl w:val="0"/>
          <w:numId w:val="2"/>
        </w:numPr>
        <w:spacing w:after="80" w:line="320"/>
      </w:pPr>
      <w:r>
        <w:rPr>
          <w:rFonts w:ascii="Arial" w:cs="Arial" w:eastAsia="Arial" w:hAnsi="Arial"/>
          <w:color w:val="374151"/>
          <w:sz w:val="22"/>
          <w:szCs w:val="22"/>
        </w:rPr>
        <w:t xml:space="preserve">Coral (#D85A30): Warnings and complications. Used for error states, complication flags, and critical alerts.</w:t>
      </w:r>
    </w:p>
    <w:p>
      <w:pPr>
        <w:pStyle w:val="ListParagraph"/>
        <w:numPr>
          <w:ilvl w:val="0"/>
          <w:numId w:val="2"/>
        </w:numPr>
        <w:spacing w:after="80" w:line="320"/>
      </w:pPr>
      <w:r>
        <w:rPr>
          <w:rFonts w:ascii="Arial" w:cs="Arial" w:eastAsia="Arial" w:hAnsi="Arial"/>
          <w:color w:val="374151"/>
          <w:sz w:val="22"/>
          <w:szCs w:val="22"/>
        </w:rPr>
        <w:t xml:space="preserve">White and Light Grey: Backgrounds and surfaces. Clean, breathable layouts.</w:t>
      </w:r>
    </w:p>
    <w:p>
      <w:pPr>
        <w:pStyle w:val="ListParagraph"/>
        <w:numPr>
          <w:ilvl w:val="0"/>
          <w:numId w:val="2"/>
        </w:numPr>
        <w:spacing w:after="80" w:line="320"/>
      </w:pPr>
      <w:r>
        <w:rPr>
          <w:rFonts w:ascii="Arial" w:cs="Arial" w:eastAsia="Arial" w:hAnsi="Arial"/>
          <w:color w:val="374151"/>
          <w:sz w:val="22"/>
          <w:szCs w:val="22"/>
        </w:rPr>
        <w:t xml:space="preserve">Mid Grey (#6B7280): Secondary text, labels, and supporting information.</w:t>
      </w:r>
    </w:p>
    <w:p>
      <w:pPr>
        <w:spacing w:before="2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943A" w:sz="1"/>
              <w:left w:val="single" w:color="E8943A" w:sz="12"/>
              <w:bottom w:val="single" w:color="E8943A" w:sz="1"/>
              <w:right w:val="single" w:color="E8943A" w:sz="1"/>
            </w:tcBorders>
            <w:shd w:fill="FDF3E7" w:val="clear"/>
            <w:tcMar>
              <w:top w:type="dxa" w:w="160"/>
              <w:left w:type="dxa" w:w="200"/>
              <w:bottom w:type="dxa" w:w="160"/>
              <w:right w:type="dxa" w:w="200"/>
            </w:tcMar>
          </w:tcPr>
          <w:p>
            <w:pPr>
              <w:spacing w:after="80"/>
            </w:pPr>
            <w:r>
              <w:rPr>
                <w:rFonts w:ascii="Arial" w:cs="Arial" w:eastAsia="Arial" w:hAnsi="Arial"/>
                <w:b/>
                <w:bCs/>
                <w:color w:val="0B1D3A"/>
                <w:sz w:val="22"/>
                <w:szCs w:val="22"/>
              </w:rPr>
              <w:t xml:space="preserve">Accessibility Note</w:t>
            </w:r>
          </w:p>
          <w:p>
            <w:pPr>
              <w:spacing w:after="0" w:line="320"/>
            </w:pPr>
            <w:r>
              <w:rPr>
                <w:rFonts w:ascii="Arial" w:cs="Arial" w:eastAsia="Arial" w:hAnsi="Arial"/>
                <w:color w:val="374151"/>
                <w:sz w:val="20"/>
                <w:szCs w:val="20"/>
              </w:rPr>
              <w:t xml:space="preserve">All colour combinations must meet WCAG 2.1 AA contrast requirements (minimum 4.5:1 for normal text, 3:1 for large text). Test all colour pairings before use in production.</w:t>
            </w:r>
          </w:p>
        </w:tc>
      </w:tr>
    </w:tbl>
    <w:p>
      <w:r>
        <w:br w:type="page"/>
      </w:r>
    </w:p>
    <w:p>
      <w:pPr>
        <w:spacing w:after="80"/>
      </w:pPr>
      <w:r>
        <w:rPr>
          <w:rFonts w:ascii="Arial" w:cs="Arial" w:eastAsia="Arial" w:hAnsi="Arial"/>
          <w:b/>
          <w:bCs/>
          <w:color w:val="E8943A"/>
          <w:sz w:val="20"/>
          <w:szCs w:val="20"/>
        </w:rPr>
        <w:t xml:space="preserve">05</w:t>
      </w:r>
    </w:p>
    <w:p>
      <w:pPr>
        <w:pStyle w:val="Heading1"/>
        <w:spacing w:before="480" w:after="200"/>
      </w:pPr>
      <w:r>
        <w:rPr>
          <w:rFonts w:ascii="Arial" w:cs="Arial" w:eastAsia="Arial" w:hAnsi="Arial"/>
          <w:b/>
          <w:bCs/>
          <w:color w:val="0B1D3A"/>
          <w:sz w:val="36"/>
          <w:szCs w:val="36"/>
        </w:rPr>
        <w:t xml:space="preserve">Typography</w:t>
      </w:r>
    </w:p>
    <w:p>
      <w:pPr>
        <w:pBdr>
          <w:bottom w:val="single" w:color="0B1D3A" w:sz="4" w:space="8"/>
        </w:pBdr>
        <w:spacing w:before="200" w:after="200"/>
      </w:pPr>
    </w:p>
    <w:p>
      <w:pPr>
        <w:spacing w:after="160" w:line="340"/>
      </w:pPr>
      <w:r>
        <w:rPr>
          <w:rFonts w:ascii="Arial" w:cs="Arial" w:eastAsia="Arial" w:hAnsi="Arial"/>
          <w:color w:val="374151"/>
          <w:sz w:val="22"/>
          <w:szCs w:val="22"/>
        </w:rPr>
        <w:t xml:space="preserve">Typography should be clean, modern, and highly legible at small sizes on mobile — since most logging happens on a phone between cases in theatre.</w:t>
      </w:r>
    </w:p>
    <w:p>
      <w:pPr>
        <w:pStyle w:val="Heading2"/>
        <w:spacing w:before="360" w:after="160"/>
      </w:pPr>
      <w:r>
        <w:rPr>
          <w:rFonts w:ascii="Arial" w:cs="Arial" w:eastAsia="Arial" w:hAnsi="Arial"/>
          <w:b/>
          <w:bCs/>
          <w:color w:val="0B1D3A"/>
          <w:sz w:val="28"/>
          <w:szCs w:val="28"/>
        </w:rPr>
        <w:t xml:space="preserve">Recommended Typefaces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c>
          <w:tcPr>
            <w:tcW w:type="dxa" w:w="3009"/>
            <w:tcBorders>
              <w:top w:val="single" w:color="D1D5DB" w:sz="1"/>
              <w:left w:val="single" w:color="D1D5DB" w:sz="1"/>
              <w:bottom w:val="single" w:color="D1D5DB" w:sz="1"/>
              <w:right w:val="single" w:color="D1D5DB" w:sz="1"/>
            </w:tcBorders>
            <w:shd w:fill="F5F5F5" w:val="clear"/>
            <w:tcMar>
              <w:top w:type="dxa" w:w="100"/>
              <w:left w:type="dxa" w:w="140"/>
              <w:bottom w:type="dxa" w:w="100"/>
              <w:right w:type="dxa" w:w="140"/>
            </w:tcMar>
          </w:tcPr>
          <w:p>
            <w:pPr>
              <w:spacing w:after="40"/>
            </w:pPr>
            <w:r>
              <w:rPr>
                <w:rFonts w:ascii="Arial" w:cs="Arial" w:eastAsia="Arial" w:hAnsi="Arial"/>
                <w:color w:val="6B7280"/>
                <w:sz w:val="18"/>
                <w:szCs w:val="18"/>
              </w:rPr>
              <w:t xml:space="preserve">Use</w:t>
            </w:r>
          </w:p>
          <w:p>
            <w:pPr>
              <w:spacing w:after="80"/>
            </w:pPr>
            <w:r>
              <w:rPr>
                <w:rFonts w:ascii="Arial" w:cs="Arial" w:eastAsia="Arial" w:hAnsi="Arial"/>
                <w:b/>
                <w:bCs/>
                <w:color w:val="0B1D3A"/>
                <w:sz w:val="22"/>
                <w:szCs w:val="22"/>
              </w:rPr>
              <w:t xml:space="preserve">Primary</w:t>
            </w:r>
          </w:p>
        </w:tc>
        <w:tc>
          <w:tcPr>
            <w:tcW w:type="dxa" w:w="3009"/>
            <w:tcBorders>
              <w:top w:val="single" w:color="D1D5DB" w:sz="1"/>
              <w:left w:val="single" w:color="D1D5DB" w:sz="1"/>
              <w:bottom w:val="single" w:color="D1D5DB" w:sz="1"/>
              <w:right w:val="single" w:color="D1D5DB" w:sz="1"/>
            </w:tcBorders>
            <w:shd w:fill="F5F5F5" w:val="clear"/>
            <w:tcMar>
              <w:top w:type="dxa" w:w="100"/>
              <w:left w:type="dxa" w:w="140"/>
              <w:bottom w:type="dxa" w:w="100"/>
              <w:right w:type="dxa" w:w="140"/>
            </w:tcMar>
          </w:tcPr>
          <w:p>
            <w:pPr>
              <w:spacing w:after="40"/>
            </w:pPr>
            <w:r>
              <w:rPr>
                <w:rFonts w:ascii="Arial" w:cs="Arial" w:eastAsia="Arial" w:hAnsi="Arial"/>
                <w:color w:val="6B7280"/>
                <w:sz w:val="18"/>
                <w:szCs w:val="18"/>
              </w:rPr>
              <w:t xml:space="preserve">Use</w:t>
            </w:r>
          </w:p>
          <w:p>
            <w:pPr>
              <w:spacing w:after="80"/>
            </w:pPr>
            <w:r>
              <w:rPr>
                <w:rFonts w:ascii="Arial" w:cs="Arial" w:eastAsia="Arial" w:hAnsi="Arial"/>
                <w:b/>
                <w:bCs/>
                <w:color w:val="0B1D3A"/>
                <w:sz w:val="22"/>
                <w:szCs w:val="22"/>
              </w:rPr>
              <w:t xml:space="preserve">Fallback</w:t>
            </w:r>
          </w:p>
        </w:tc>
        <w:tc>
          <w:tcPr>
            <w:tcW w:type="dxa" w:w="3008"/>
            <w:tcBorders>
              <w:top w:val="single" w:color="D1D5DB" w:sz="1"/>
              <w:left w:val="single" w:color="D1D5DB" w:sz="1"/>
              <w:bottom w:val="single" w:color="D1D5DB" w:sz="1"/>
              <w:right w:val="single" w:color="D1D5DB" w:sz="1"/>
            </w:tcBorders>
            <w:shd w:fill="F5F5F5" w:val="clear"/>
            <w:tcMar>
              <w:top w:type="dxa" w:w="100"/>
              <w:left w:type="dxa" w:w="140"/>
              <w:bottom w:type="dxa" w:w="100"/>
              <w:right w:type="dxa" w:w="140"/>
            </w:tcMar>
          </w:tcPr>
          <w:p>
            <w:pPr>
              <w:spacing w:after="40"/>
            </w:pPr>
            <w:r>
              <w:rPr>
                <w:rFonts w:ascii="Arial" w:cs="Arial" w:eastAsia="Arial" w:hAnsi="Arial"/>
                <w:color w:val="6B7280"/>
                <w:sz w:val="18"/>
                <w:szCs w:val="18"/>
              </w:rPr>
              <w:t xml:space="preserve">Use</w:t>
            </w:r>
          </w:p>
          <w:p>
            <w:pPr>
              <w:spacing w:after="80"/>
            </w:pPr>
            <w:r>
              <w:rPr>
                <w:rFonts w:ascii="Arial" w:cs="Arial" w:eastAsia="Arial" w:hAnsi="Arial"/>
                <w:b/>
                <w:bCs/>
                <w:color w:val="0B1D3A"/>
                <w:sz w:val="22"/>
                <w:szCs w:val="22"/>
              </w:rPr>
              <w:t xml:space="preserve">Monospace</w:t>
            </w:r>
          </w:p>
        </w:tc>
      </w:tr>
      <w:tr>
        <w:tc>
          <w:tcPr>
            <w:tcW w:type="dxa" w:w="3009"/>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60"/>
            </w:pPr>
            <w:r>
              <w:rPr>
                <w:rFonts w:ascii="Arial" w:cs="Arial" w:eastAsia="Arial" w:hAnsi="Arial"/>
                <w:b/>
                <w:bCs/>
                <w:color w:val="374151"/>
                <w:sz w:val="26"/>
                <w:szCs w:val="26"/>
              </w:rPr>
              <w:t xml:space="preserve">Satoshi</w:t>
            </w:r>
          </w:p>
          <w:p>
            <w:pPr>
              <w:spacing w:after="0" w:line="300"/>
            </w:pPr>
            <w:r>
              <w:rPr>
                <w:rFonts w:ascii="Arial" w:cs="Arial" w:eastAsia="Arial" w:hAnsi="Arial"/>
                <w:color w:val="6B7280"/>
                <w:sz w:val="18"/>
                <w:szCs w:val="18"/>
              </w:rPr>
              <w:t xml:space="preserve">Headings, display text, marketing materials</w:t>
            </w:r>
          </w:p>
        </w:tc>
        <w:tc>
          <w:tcPr>
            <w:tcW w:type="dxa" w:w="3009"/>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60"/>
            </w:pPr>
            <w:r>
              <w:rPr>
                <w:rFonts w:ascii="Arial" w:cs="Arial" w:eastAsia="Arial" w:hAnsi="Arial"/>
                <w:b/>
                <w:bCs/>
                <w:color w:val="374151"/>
                <w:sz w:val="26"/>
                <w:szCs w:val="26"/>
              </w:rPr>
              <w:t xml:space="preserve">Inter</w:t>
            </w:r>
          </w:p>
          <w:p>
            <w:pPr>
              <w:spacing w:after="0" w:line="300"/>
            </w:pPr>
            <w:r>
              <w:rPr>
                <w:rFonts w:ascii="Arial" w:cs="Arial" w:eastAsia="Arial" w:hAnsi="Arial"/>
                <w:color w:val="6B7280"/>
                <w:sz w:val="18"/>
                <w:szCs w:val="18"/>
              </w:rPr>
              <w:t xml:space="preserve">Body copy, UI elements, form fields, in-app text</w:t>
            </w:r>
          </w:p>
        </w:tc>
        <w:tc>
          <w:tcPr>
            <w:tcW w:type="dxa" w:w="3008"/>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60"/>
            </w:pPr>
            <w:r>
              <w:rPr>
                <w:rFonts w:ascii="Arial" w:cs="Arial" w:eastAsia="Arial" w:hAnsi="Arial"/>
                <w:b/>
                <w:bCs/>
                <w:color w:val="374151"/>
                <w:sz w:val="26"/>
                <w:szCs w:val="26"/>
              </w:rPr>
              <w:t xml:space="preserve">JetBrains Mono</w:t>
            </w:r>
          </w:p>
          <w:p>
            <w:pPr>
              <w:spacing w:after="0" w:line="300"/>
            </w:pPr>
            <w:r>
              <w:rPr>
                <w:rFonts w:ascii="Arial" w:cs="Arial" w:eastAsia="Arial" w:hAnsi="Arial"/>
                <w:color w:val="6B7280"/>
                <w:sz w:val="18"/>
                <w:szCs w:val="18"/>
              </w:rPr>
              <w:t xml:space="preserve">Code references, procedure codes, data labels</w:t>
            </w:r>
          </w:p>
        </w:tc>
      </w:tr>
    </w:tbl>
    <w:p>
      <w:pPr>
        <w:spacing w:before="200" w:after="0"/>
      </w:pPr>
    </w:p>
    <w:p>
      <w:pPr>
        <w:pStyle w:val="Heading2"/>
        <w:spacing w:before="360" w:after="160"/>
      </w:pPr>
      <w:r>
        <w:rPr>
          <w:rFonts w:ascii="Arial" w:cs="Arial" w:eastAsia="Arial" w:hAnsi="Arial"/>
          <w:b/>
          <w:bCs/>
          <w:color w:val="0B1D3A"/>
          <w:sz w:val="28"/>
          <w:szCs w:val="28"/>
        </w:rPr>
        <w:t xml:space="preserve">Type Scale</w:t>
      </w:r>
    </w:p>
    <w:p>
      <w:pPr>
        <w:pStyle w:val="ListParagraph"/>
        <w:numPr>
          <w:ilvl w:val="0"/>
          <w:numId w:val="2"/>
        </w:numPr>
        <w:spacing w:after="80" w:line="320"/>
      </w:pPr>
      <w:r>
        <w:rPr>
          <w:rFonts w:ascii="Arial" w:cs="Arial" w:eastAsia="Arial" w:hAnsi="Arial"/>
          <w:color w:val="374151"/>
          <w:sz w:val="22"/>
          <w:szCs w:val="22"/>
        </w:rPr>
        <w:t xml:space="preserve">Display / Hero: 36–48px, Satoshi Bold</w:t>
      </w:r>
    </w:p>
    <w:p>
      <w:pPr>
        <w:pStyle w:val="ListParagraph"/>
        <w:numPr>
          <w:ilvl w:val="0"/>
          <w:numId w:val="2"/>
        </w:numPr>
        <w:spacing w:after="80" w:line="320"/>
      </w:pPr>
      <w:r>
        <w:rPr>
          <w:rFonts w:ascii="Arial" w:cs="Arial" w:eastAsia="Arial" w:hAnsi="Arial"/>
          <w:color w:val="374151"/>
          <w:sz w:val="22"/>
          <w:szCs w:val="22"/>
        </w:rPr>
        <w:t xml:space="preserve">H1: 28–32px, Satoshi Bold</w:t>
      </w:r>
    </w:p>
    <w:p>
      <w:pPr>
        <w:pStyle w:val="ListParagraph"/>
        <w:numPr>
          <w:ilvl w:val="0"/>
          <w:numId w:val="2"/>
        </w:numPr>
        <w:spacing w:after="80" w:line="320"/>
      </w:pPr>
      <w:r>
        <w:rPr>
          <w:rFonts w:ascii="Arial" w:cs="Arial" w:eastAsia="Arial" w:hAnsi="Arial"/>
          <w:color w:val="374151"/>
          <w:sz w:val="22"/>
          <w:szCs w:val="22"/>
        </w:rPr>
        <w:t xml:space="preserve">H2: 22–24px, Satoshi Semibold</w:t>
      </w:r>
    </w:p>
    <w:p>
      <w:pPr>
        <w:pStyle w:val="ListParagraph"/>
        <w:numPr>
          <w:ilvl w:val="0"/>
          <w:numId w:val="2"/>
        </w:numPr>
        <w:spacing w:after="80" w:line="320"/>
      </w:pPr>
      <w:r>
        <w:rPr>
          <w:rFonts w:ascii="Arial" w:cs="Arial" w:eastAsia="Arial" w:hAnsi="Arial"/>
          <w:color w:val="374151"/>
          <w:sz w:val="22"/>
          <w:szCs w:val="22"/>
        </w:rPr>
        <w:t xml:space="preserve">H3: 18–20px, Inter Semibold</w:t>
      </w:r>
    </w:p>
    <w:p>
      <w:pPr>
        <w:pStyle w:val="ListParagraph"/>
        <w:numPr>
          <w:ilvl w:val="0"/>
          <w:numId w:val="2"/>
        </w:numPr>
        <w:spacing w:after="80" w:line="320"/>
      </w:pPr>
      <w:r>
        <w:rPr>
          <w:rFonts w:ascii="Arial" w:cs="Arial" w:eastAsia="Arial" w:hAnsi="Arial"/>
          <w:color w:val="374151"/>
          <w:sz w:val="22"/>
          <w:szCs w:val="22"/>
        </w:rPr>
        <w:t xml:space="preserve">Body: 16px, Inter Regular (line-height: 1.5)</w:t>
      </w:r>
    </w:p>
    <w:p>
      <w:pPr>
        <w:pStyle w:val="ListParagraph"/>
        <w:numPr>
          <w:ilvl w:val="0"/>
          <w:numId w:val="2"/>
        </w:numPr>
        <w:spacing w:after="80" w:line="320"/>
      </w:pPr>
      <w:r>
        <w:rPr>
          <w:rFonts w:ascii="Arial" w:cs="Arial" w:eastAsia="Arial" w:hAnsi="Arial"/>
          <w:color w:val="374151"/>
          <w:sz w:val="22"/>
          <w:szCs w:val="22"/>
        </w:rPr>
        <w:t xml:space="preserve">Caption / Label: 13–14px, Inter Medium</w:t>
      </w:r>
    </w:p>
    <w:p>
      <w:pPr>
        <w:pStyle w:val="ListParagraph"/>
        <w:numPr>
          <w:ilvl w:val="0"/>
          <w:numId w:val="2"/>
        </w:numPr>
        <w:spacing w:after="80" w:line="320"/>
      </w:pPr>
      <w:r>
        <w:rPr>
          <w:rFonts w:ascii="Arial" w:cs="Arial" w:eastAsia="Arial" w:hAnsi="Arial"/>
          <w:color w:val="374151"/>
          <w:sz w:val="22"/>
          <w:szCs w:val="22"/>
        </w:rPr>
        <w:t xml:space="preserve">Small / Legal: 12px, Inter Regular</w:t>
      </w:r>
    </w:p>
    <w:p>
      <w:r>
        <w:br w:type="page"/>
      </w:r>
    </w:p>
    <w:p>
      <w:pPr>
        <w:spacing w:after="80"/>
      </w:pPr>
      <w:r>
        <w:rPr>
          <w:rFonts w:ascii="Arial" w:cs="Arial" w:eastAsia="Arial" w:hAnsi="Arial"/>
          <w:b/>
          <w:bCs/>
          <w:color w:val="E8943A"/>
          <w:sz w:val="20"/>
          <w:szCs w:val="20"/>
        </w:rPr>
        <w:t xml:space="preserve">06</w:t>
      </w:r>
    </w:p>
    <w:p>
      <w:pPr>
        <w:pStyle w:val="Heading1"/>
        <w:spacing w:before="480" w:after="200"/>
      </w:pPr>
      <w:r>
        <w:rPr>
          <w:rFonts w:ascii="Arial" w:cs="Arial" w:eastAsia="Arial" w:hAnsi="Arial"/>
          <w:b/>
          <w:bCs/>
          <w:color w:val="0B1D3A"/>
          <w:sz w:val="36"/>
          <w:szCs w:val="36"/>
        </w:rPr>
        <w:t xml:space="preserve">Logo System</w:t>
      </w:r>
    </w:p>
    <w:p>
      <w:pPr>
        <w:pBdr>
          <w:bottom w:val="single" w:color="0B1D3A" w:sz="4" w:space="8"/>
        </w:pBdr>
        <w:spacing w:before="200" w:after="200"/>
      </w:pPr>
    </w:p>
    <w:p>
      <w:pPr>
        <w:pStyle w:val="Heading2"/>
        <w:spacing w:before="360" w:after="160"/>
      </w:pPr>
      <w:r>
        <w:rPr>
          <w:rFonts w:ascii="Arial" w:cs="Arial" w:eastAsia="Arial" w:hAnsi="Arial"/>
          <w:b/>
          <w:bCs/>
          <w:color w:val="0B1D3A"/>
          <w:sz w:val="28"/>
          <w:szCs w:val="28"/>
        </w:rPr>
        <w:t xml:space="preserve">The Name</w:t>
      </w:r>
    </w:p>
    <w:p>
      <w:pPr>
        <w:spacing w:after="160" w:line="340"/>
      </w:pPr>
      <w:r>
        <w:rPr>
          <w:rFonts w:ascii="Arial" w:cs="Arial" w:eastAsia="Arial" w:hAnsi="Arial"/>
          <w:color w:val="374151"/>
          <w:sz w:val="22"/>
          <w:szCs w:val="22"/>
        </w:rPr>
        <w:t xml:space="preserve">The name is written as one word: </w:t>
      </w:r>
      <w:r>
        <w:rPr>
          <w:rFonts w:ascii="Arial" w:cs="Arial" w:eastAsia="Arial" w:hAnsi="Arial"/>
          <w:b/>
          <w:bCs/>
          <w:color w:val="0B1D3A"/>
          <w:sz w:val="22"/>
          <w:szCs w:val="22"/>
        </w:rPr>
        <w:t xml:space="preserve">Theatre</w:t>
      </w:r>
      <w:r>
        <w:rPr>
          <w:rFonts w:ascii="Arial" w:cs="Arial" w:eastAsia="Arial" w:hAnsi="Arial"/>
          <w:color w:val="E8943A"/>
          <w:sz w:val="22"/>
          <w:szCs w:val="22"/>
        </w:rPr>
        <w:t xml:space="preserve">log</w:t>
      </w:r>
      <w:r>
        <w:rPr>
          <w:rFonts w:ascii="Arial" w:cs="Arial" w:eastAsia="Arial" w:hAnsi="Arial"/>
          <w:color w:val="374151"/>
          <w:sz w:val="22"/>
          <w:szCs w:val="22"/>
        </w:rPr>
        <w:t xml:space="preserve">. The emphasis falls on “Theatre” through bold weight in Navy (#0B1D3A), while “log” is rendered in regular weight Amber (#E8943A). This weight and colour contrast ensures “Theatre” dominates visually while “log” serves as a warm accent that ties to the scalpel stroke in the icon mark.</w:t>
      </w:r>
    </w:p>
    <w:p>
      <w:pPr>
        <w:pStyle w:val="Heading2"/>
        <w:spacing w:before="360" w:after="160"/>
      </w:pPr>
      <w:r>
        <w:rPr>
          <w:rFonts w:ascii="Arial" w:cs="Arial" w:eastAsia="Arial" w:hAnsi="Arial"/>
          <w:b/>
          <w:bCs/>
          <w:color w:val="0B1D3A"/>
          <w:sz w:val="28"/>
          <w:szCs w:val="28"/>
        </w:rPr>
        <w:t xml:space="preserve">Icon Mark</w:t>
      </w:r>
    </w:p>
    <w:p>
      <w:pPr>
        <w:spacing w:after="160" w:line="340"/>
      </w:pPr>
      <w:r>
        <w:rPr>
          <w:rFonts w:ascii="Arial" w:cs="Arial" w:eastAsia="Arial" w:hAnsi="Arial"/>
          <w:color w:val="374151"/>
          <w:sz w:val="22"/>
          <w:szCs w:val="22"/>
        </w:rPr>
        <w:t xml:space="preserve">The icon mark features two overlapping logbook pages with subtle horizontal lines representing logged entries. An amber diagonal scalpel stroke cuts across the front page, symbolising surgical precision. The back page sits slightly offset, creating depth and reinforcing the “log” concept.</w:t>
      </w:r>
    </w:p>
    <w:p>
      <w:pPr>
        <w:pStyle w:val="Heading2"/>
        <w:spacing w:before="360" w:after="160"/>
      </w:pPr>
      <w:r>
        <w:rPr>
          <w:rFonts w:ascii="Arial" w:cs="Arial" w:eastAsia="Arial" w:hAnsi="Arial"/>
          <w:b/>
          <w:bCs/>
          <w:color w:val="0B1D3A"/>
          <w:sz w:val="28"/>
          <w:szCs w:val="28"/>
        </w:rPr>
        <w:t xml:space="preserve">Logo Variants</w:t>
      </w:r>
    </w:p>
    <w:p>
      <w:pPr>
        <w:pStyle w:val="ListParagraph"/>
        <w:numPr>
          <w:ilvl w:val="0"/>
          <w:numId w:val="2"/>
        </w:numPr>
        <w:spacing w:after="80" w:line="320"/>
      </w:pPr>
      <w:r>
        <w:rPr>
          <w:rFonts w:ascii="Arial" w:cs="Arial" w:eastAsia="Arial" w:hAnsi="Arial"/>
          <w:color w:val="374151"/>
          <w:sz w:val="22"/>
          <w:szCs w:val="22"/>
        </w:rPr>
        <w:t xml:space="preserve">Primary logo: Icon mark + wordmark + tagline — used on marketing materials, website hero, and presentations</w:t>
      </w:r>
    </w:p>
    <w:p>
      <w:pPr>
        <w:pStyle w:val="ListParagraph"/>
        <w:numPr>
          <w:ilvl w:val="0"/>
          <w:numId w:val="2"/>
        </w:numPr>
        <w:spacing w:after="80" w:line="320"/>
      </w:pPr>
      <w:r>
        <w:rPr>
          <w:rFonts w:ascii="Arial" w:cs="Arial" w:eastAsia="Arial" w:hAnsi="Arial"/>
          <w:color w:val="374151"/>
          <w:sz w:val="22"/>
          <w:szCs w:val="22"/>
        </w:rPr>
        <w:t xml:space="preserve">Compact logo: Icon mark + wordmark (no tagline) — used in app headers, navigation bars, and smaller placements</w:t>
      </w:r>
    </w:p>
    <w:p>
      <w:pPr>
        <w:pStyle w:val="ListParagraph"/>
        <w:numPr>
          <w:ilvl w:val="0"/>
          <w:numId w:val="2"/>
        </w:numPr>
        <w:spacing w:after="80" w:line="320"/>
      </w:pPr>
      <w:r>
        <w:rPr>
          <w:rFonts w:ascii="Arial" w:cs="Arial" w:eastAsia="Arial" w:hAnsi="Arial"/>
          <w:color w:val="374151"/>
          <w:sz w:val="22"/>
          <w:szCs w:val="22"/>
        </w:rPr>
        <w:t xml:space="preserve">Wordmark only: Text only, no icon mark — used in tight horizontal spaces, footer text, and co-branding</w:t>
      </w:r>
    </w:p>
    <w:p>
      <w:pPr>
        <w:pStyle w:val="ListParagraph"/>
        <w:numPr>
          <w:ilvl w:val="0"/>
          <w:numId w:val="2"/>
        </w:numPr>
        <w:spacing w:after="80" w:line="320"/>
      </w:pPr>
      <w:r>
        <w:rPr>
          <w:rFonts w:ascii="Arial" w:cs="Arial" w:eastAsia="Arial" w:hAnsi="Arial"/>
          <w:color w:val="374151"/>
          <w:sz w:val="22"/>
          <w:szCs w:val="22"/>
        </w:rPr>
        <w:t xml:space="preserve">Icon only: Mark without text — used for app icons, favicons, and social media avatars</w:t>
      </w:r>
    </w:p>
    <w:p>
      <w:pPr>
        <w:pStyle w:val="Heading2"/>
        <w:spacing w:before="360" w:after="160"/>
      </w:pPr>
      <w:r>
        <w:rPr>
          <w:rFonts w:ascii="Arial" w:cs="Arial" w:eastAsia="Arial" w:hAnsi="Arial"/>
          <w:b/>
          <w:bCs/>
          <w:color w:val="0B1D3A"/>
          <w:sz w:val="28"/>
          <w:szCs w:val="28"/>
        </w:rPr>
        <w:t xml:space="preserve">Colour Variations</w:t>
      </w:r>
    </w:p>
    <w:p>
      <w:pPr>
        <w:pStyle w:val="ListParagraph"/>
        <w:numPr>
          <w:ilvl w:val="0"/>
          <w:numId w:val="2"/>
        </w:numPr>
        <w:spacing w:after="80" w:line="320"/>
      </w:pPr>
      <w:r>
        <w:rPr>
          <w:rFonts w:ascii="Arial" w:cs="Arial" w:eastAsia="Arial" w:hAnsi="Arial"/>
          <w:color w:val="374151"/>
          <w:sz w:val="22"/>
          <w:szCs w:val="22"/>
        </w:rPr>
        <w:t xml:space="preserve">Navy on white: Default for light backgrounds and print</w:t>
      </w:r>
    </w:p>
    <w:p>
      <w:pPr>
        <w:pStyle w:val="ListParagraph"/>
        <w:numPr>
          <w:ilvl w:val="0"/>
          <w:numId w:val="2"/>
        </w:numPr>
        <w:spacing w:after="80" w:line="320"/>
      </w:pPr>
      <w:r>
        <w:rPr>
          <w:rFonts w:ascii="Arial" w:cs="Arial" w:eastAsia="Arial" w:hAnsi="Arial"/>
          <w:color w:val="374151"/>
          <w:sz w:val="22"/>
          <w:szCs w:val="22"/>
        </w:rPr>
        <w:t xml:space="preserve">White on navy: Reversed for dark backgrounds, splash screens, and hero sections</w:t>
      </w:r>
    </w:p>
    <w:p>
      <w:pPr>
        <w:pStyle w:val="ListParagraph"/>
        <w:numPr>
          <w:ilvl w:val="0"/>
          <w:numId w:val="2"/>
        </w:numPr>
        <w:spacing w:after="80" w:line="320"/>
      </w:pPr>
      <w:r>
        <w:rPr>
          <w:rFonts w:ascii="Arial" w:cs="Arial" w:eastAsia="Arial" w:hAnsi="Arial"/>
          <w:color w:val="374151"/>
          <w:sz w:val="22"/>
          <w:szCs w:val="22"/>
        </w:rPr>
        <w:t xml:space="preserve">Amber background: For social media highlights and feature callouts</w:t>
      </w:r>
    </w:p>
    <w:p>
      <w:pPr>
        <w:pStyle w:val="ListParagraph"/>
        <w:numPr>
          <w:ilvl w:val="0"/>
          <w:numId w:val="2"/>
        </w:numPr>
        <w:spacing w:after="80" w:line="320"/>
      </w:pPr>
      <w:r>
        <w:rPr>
          <w:rFonts w:ascii="Arial" w:cs="Arial" w:eastAsia="Arial" w:hAnsi="Arial"/>
          <w:color w:val="374151"/>
          <w:sz w:val="22"/>
          <w:szCs w:val="22"/>
        </w:rPr>
        <w:t xml:space="preserve">Monochrome: For single-colour contexts, press kits, and greyscale print</w:t>
      </w:r>
    </w:p>
    <w:p>
      <w:pPr>
        <w:pStyle w:val="Heading2"/>
        <w:spacing w:before="360" w:after="160"/>
      </w:pPr>
      <w:r>
        <w:rPr>
          <w:rFonts w:ascii="Arial" w:cs="Arial" w:eastAsia="Arial" w:hAnsi="Arial"/>
          <w:b/>
          <w:bCs/>
          <w:color w:val="0B1D3A"/>
          <w:sz w:val="28"/>
          <w:szCs w:val="28"/>
        </w:rPr>
        <w:t xml:space="preserve">Clear Space &amp; Minimum Size</w:t>
      </w:r>
    </w:p>
    <w:p>
      <w:pPr>
        <w:spacing w:after="160" w:line="340"/>
      </w:pPr>
      <w:r>
        <w:rPr>
          <w:rFonts w:ascii="Arial" w:cs="Arial" w:eastAsia="Arial" w:hAnsi="Arial"/>
          <w:color w:val="374151"/>
          <w:sz w:val="22"/>
          <w:szCs w:val="22"/>
        </w:rPr>
        <w:t xml:space="preserve">Maintain clear space equal to the height of the capital “T” in Theatrelog on all sides of the logo. The minimum reproduction size is 24px height for the icon in digital contexts and 10mm for print. At sizes below 32px, the log lines inside the icon mark should be removed for legibility.</w:t>
      </w:r>
    </w:p>
    <w:p>
      <w:pPr>
        <w:pStyle w:val="Heading2"/>
        <w:spacing w:before="360" w:after="160"/>
      </w:pPr>
      <w:r>
        <w:rPr>
          <w:rFonts w:ascii="Arial" w:cs="Arial" w:eastAsia="Arial" w:hAnsi="Arial"/>
          <w:b/>
          <w:bCs/>
          <w:color w:val="0B1D3A"/>
          <w:sz w:val="28"/>
          <w:szCs w:val="28"/>
        </w:rPr>
        <w:t xml:space="preserve">Logo Don’ts</w:t>
      </w:r>
    </w:p>
    <w:p>
      <w:pPr>
        <w:pStyle w:val="ListParagraph"/>
        <w:numPr>
          <w:ilvl w:val="0"/>
          <w:numId w:val="2"/>
        </w:numPr>
        <w:spacing w:after="80" w:line="320"/>
      </w:pPr>
      <w:r>
        <w:rPr>
          <w:rFonts w:ascii="Arial" w:cs="Arial" w:eastAsia="Arial" w:hAnsi="Arial"/>
          <w:color w:val="374151"/>
          <w:sz w:val="22"/>
          <w:szCs w:val="22"/>
        </w:rPr>
        <w:t xml:space="preserve">Do not separate “Theatre” and “log” into two words</w:t>
      </w:r>
    </w:p>
    <w:p>
      <w:pPr>
        <w:pStyle w:val="ListParagraph"/>
        <w:numPr>
          <w:ilvl w:val="0"/>
          <w:numId w:val="2"/>
        </w:numPr>
        <w:spacing w:after="80" w:line="320"/>
      </w:pPr>
      <w:r>
        <w:rPr>
          <w:rFonts w:ascii="Arial" w:cs="Arial" w:eastAsia="Arial" w:hAnsi="Arial"/>
          <w:color w:val="374151"/>
          <w:sz w:val="22"/>
          <w:szCs w:val="22"/>
        </w:rPr>
        <w:t xml:space="preserve">Do not change the colour relationship (Theatre must be Navy/White, log must be Amber)</w:t>
      </w:r>
    </w:p>
    <w:p>
      <w:pPr>
        <w:pStyle w:val="ListParagraph"/>
        <w:numPr>
          <w:ilvl w:val="0"/>
          <w:numId w:val="2"/>
        </w:numPr>
        <w:spacing w:after="80" w:line="320"/>
      </w:pPr>
      <w:r>
        <w:rPr>
          <w:rFonts w:ascii="Arial" w:cs="Arial" w:eastAsia="Arial" w:hAnsi="Arial"/>
          <w:color w:val="374151"/>
          <w:sz w:val="22"/>
          <w:szCs w:val="22"/>
        </w:rPr>
        <w:t xml:space="preserve">Do not stretch, distort, or rotate the logo</w:t>
      </w:r>
    </w:p>
    <w:p>
      <w:pPr>
        <w:pStyle w:val="ListParagraph"/>
        <w:numPr>
          <w:ilvl w:val="0"/>
          <w:numId w:val="2"/>
        </w:numPr>
        <w:spacing w:after="80" w:line="320"/>
      </w:pPr>
      <w:r>
        <w:rPr>
          <w:rFonts w:ascii="Arial" w:cs="Arial" w:eastAsia="Arial" w:hAnsi="Arial"/>
          <w:color w:val="374151"/>
          <w:sz w:val="22"/>
          <w:szCs w:val="22"/>
        </w:rPr>
        <w:t xml:space="preserve">Do not place the logo on busy or low-contrast backgrounds</w:t>
      </w:r>
    </w:p>
    <w:p>
      <w:pPr>
        <w:pStyle w:val="ListParagraph"/>
        <w:numPr>
          <w:ilvl w:val="0"/>
          <w:numId w:val="2"/>
        </w:numPr>
        <w:spacing w:after="80" w:line="320"/>
      </w:pPr>
      <w:r>
        <w:rPr>
          <w:rFonts w:ascii="Arial" w:cs="Arial" w:eastAsia="Arial" w:hAnsi="Arial"/>
          <w:color w:val="374151"/>
          <w:sz w:val="22"/>
          <w:szCs w:val="22"/>
        </w:rPr>
        <w:t xml:space="preserve">Do not add effects such as shadows, outlines, or gradients</w:t>
      </w:r>
    </w:p>
    <w:p>
      <w:pPr>
        <w:pStyle w:val="ListParagraph"/>
        <w:numPr>
          <w:ilvl w:val="0"/>
          <w:numId w:val="2"/>
        </w:numPr>
        <w:spacing w:after="80" w:line="320"/>
      </w:pPr>
      <w:r>
        <w:rPr>
          <w:rFonts w:ascii="Arial" w:cs="Arial" w:eastAsia="Arial" w:hAnsi="Arial"/>
          <w:color w:val="374151"/>
          <w:sz w:val="22"/>
          <w:szCs w:val="22"/>
        </w:rPr>
        <w:t xml:space="preserve">Do not rearrange the icon mark relative to the wordmark</w:t>
      </w:r>
    </w:p>
    <w:p>
      <w:pPr>
        <w:pStyle w:val="ListParagraph"/>
        <w:numPr>
          <w:ilvl w:val="0"/>
          <w:numId w:val="2"/>
        </w:numPr>
        <w:spacing w:after="80" w:line="320"/>
      </w:pPr>
      <w:r>
        <w:rPr>
          <w:rFonts w:ascii="Arial" w:cs="Arial" w:eastAsia="Arial" w:hAnsi="Arial"/>
          <w:color w:val="374151"/>
          <w:sz w:val="22"/>
          <w:szCs w:val="22"/>
        </w:rPr>
        <w:t xml:space="preserve">Do not use the amber icon variant on amber or warm-toned backgrounds</w:t>
      </w:r>
    </w:p>
    <w:p>
      <w:r>
        <w:br w:type="page"/>
      </w:r>
    </w:p>
    <w:p>
      <w:pPr>
        <w:spacing w:after="80"/>
      </w:pPr>
      <w:r>
        <w:rPr>
          <w:rFonts w:ascii="Arial" w:cs="Arial" w:eastAsia="Arial" w:hAnsi="Arial"/>
          <w:b/>
          <w:bCs/>
          <w:color w:val="E8943A"/>
          <w:sz w:val="20"/>
          <w:szCs w:val="20"/>
        </w:rPr>
        <w:t xml:space="preserve">07</w:t>
      </w:r>
    </w:p>
    <w:p>
      <w:pPr>
        <w:pStyle w:val="Heading1"/>
        <w:spacing w:before="480" w:after="200"/>
      </w:pPr>
      <w:r>
        <w:rPr>
          <w:rFonts w:ascii="Arial" w:cs="Arial" w:eastAsia="Arial" w:hAnsi="Arial"/>
          <w:b/>
          <w:bCs/>
          <w:color w:val="0B1D3A"/>
          <w:sz w:val="36"/>
          <w:szCs w:val="36"/>
        </w:rPr>
        <w:t xml:space="preserve">Messaging Framework</w:t>
      </w:r>
    </w:p>
    <w:p>
      <w:pPr>
        <w:pBdr>
          <w:bottom w:val="single" w:color="0B1D3A" w:sz="4" w:space="8"/>
        </w:pBdr>
        <w:spacing w:before="200" w:after="200"/>
      </w:pPr>
    </w:p>
    <w:p>
      <w:pPr>
        <w:pStyle w:val="Heading2"/>
        <w:spacing w:before="360" w:after="160"/>
      </w:pPr>
      <w:r>
        <w:rPr>
          <w:rFonts w:ascii="Arial" w:cs="Arial" w:eastAsia="Arial" w:hAnsi="Arial"/>
          <w:b/>
          <w:bCs/>
          <w:color w:val="0B1D3A"/>
          <w:sz w:val="28"/>
          <w:szCs w:val="28"/>
        </w:rPr>
        <w:t xml:space="preserve">One-Liner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B1D3A" w:sz="1"/>
              <w:left w:val="single" w:color="0B1D3A" w:sz="12"/>
              <w:bottom w:val="single" w:color="0B1D3A" w:sz="1"/>
              <w:right w:val="single" w:color="0B1D3A" w:sz="1"/>
            </w:tcBorders>
            <w:shd w:fill="E8EDF5" w:val="clear"/>
            <w:tcMar>
              <w:top w:type="dxa" w:w="160"/>
              <w:left w:type="dxa" w:w="200"/>
              <w:bottom w:type="dxa" w:w="160"/>
              <w:right w:type="dxa" w:w="200"/>
            </w:tcMar>
          </w:tcPr>
          <w:p>
            <w:pPr>
              <w:spacing w:after="80"/>
            </w:pPr>
            <w:r>
              <w:rPr>
                <w:rFonts w:ascii="Arial" w:cs="Arial" w:eastAsia="Arial" w:hAnsi="Arial"/>
                <w:b/>
                <w:bCs/>
                <w:color w:val="0B1D3A"/>
                <w:sz w:val="22"/>
                <w:szCs w:val="22"/>
              </w:rPr>
              <w:t xml:space="preserve">Elevator Pitch</w:t>
            </w:r>
          </w:p>
          <w:p>
            <w:pPr>
              <w:spacing w:after="0" w:line="320"/>
            </w:pPr>
            <w:r>
              <w:rPr>
                <w:rFonts w:ascii="Arial" w:cs="Arial" w:eastAsia="Arial" w:hAnsi="Arial"/>
                <w:color w:val="374151"/>
                <w:sz w:val="20"/>
                <w:szCs w:val="20"/>
              </w:rPr>
              <w:t xml:space="preserve">The surgical logbook built for UK trainees.</w:t>
            </w:r>
          </w:p>
        </w:tc>
      </w:tr>
    </w:tbl>
    <w:p>
      <w:pPr>
        <w:spacing w:before="200" w:after="0"/>
      </w:pPr>
    </w:p>
    <w:p>
      <w:pPr>
        <w:pStyle w:val="Heading2"/>
        <w:spacing w:before="360" w:after="160"/>
      </w:pPr>
      <w:r>
        <w:rPr>
          <w:rFonts w:ascii="Arial" w:cs="Arial" w:eastAsia="Arial" w:hAnsi="Arial"/>
          <w:b/>
          <w:bCs/>
          <w:color w:val="0B1D3A"/>
          <w:sz w:val="28"/>
          <w:szCs w:val="28"/>
        </w:rPr>
        <w:t xml:space="preserve">Value Proposition (Website Hero)</w:t>
      </w:r>
    </w:p>
    <w:p>
      <w:pPr>
        <w:spacing w:after="160" w:line="340"/>
      </w:pPr>
      <w:r>
        <w:rPr>
          <w:rFonts w:ascii="Arial" w:cs="Arial" w:eastAsia="Arial" w:hAnsi="Arial"/>
          <w:b/>
          <w:bCs/>
          <w:color w:val="0B1D3A"/>
          <w:sz w:val="22"/>
          <w:szCs w:val="22"/>
        </w:rPr>
        <w:t xml:space="preserve">“Log cases offline in theatre. Generate ARCP-ready summaries in seconds. </w:t>
      </w:r>
      <w:r>
        <w:rPr>
          <w:rFonts w:ascii="Arial" w:cs="Arial" w:eastAsia="Arial" w:hAnsi="Arial"/>
          <w:b/>
          <w:bCs/>
          <w:color w:val="E8943A"/>
          <w:sz w:val="22"/>
          <w:szCs w:val="22"/>
        </w:rPr>
        <w:t xml:space="preserve">No spreadsheets, no stress.”</w:t>
      </w:r>
    </w:p>
    <w:p>
      <w:pPr>
        <w:spacing w:before="200" w:after="0"/>
      </w:pPr>
    </w:p>
    <w:p>
      <w:pPr>
        <w:pStyle w:val="Heading2"/>
        <w:spacing w:before="360" w:after="160"/>
      </w:pPr>
      <w:r>
        <w:rPr>
          <w:rFonts w:ascii="Arial" w:cs="Arial" w:eastAsia="Arial" w:hAnsi="Arial"/>
          <w:b/>
          <w:bCs/>
          <w:color w:val="0B1D3A"/>
          <w:sz w:val="28"/>
          <w:szCs w:val="28"/>
        </w:rPr>
        <w:t xml:space="preserve">Tagline</w:t>
      </w:r>
    </w:p>
    <w:p>
      <w:pPr>
        <w:spacing w:after="160" w:line="340"/>
      </w:pPr>
      <w:r>
        <w:rPr>
          <w:rFonts w:ascii="Arial" w:cs="Arial" w:eastAsia="Arial" w:hAnsi="Arial"/>
          <w:b/>
          <w:bCs/>
          <w:color w:val="0B1D3A"/>
          <w:sz w:val="22"/>
          <w:szCs w:val="22"/>
        </w:rPr>
        <w:t xml:space="preserve">“Your logbook, sorted.”</w:t>
      </w:r>
      <w:r>
        <w:rPr>
          <w:rFonts w:ascii="Arial" w:cs="Arial" w:eastAsia="Arial" w:hAnsi="Arial"/>
          <w:color w:val="374151"/>
          <w:sz w:val="22"/>
          <w:szCs w:val="22"/>
        </w:rPr>
        <w:t xml:space="preserve"> — This tagline appears beneath the primary logo and captures the brand promise in four words: reliability, simplicity, and a distinctly British tone.</w:t>
      </w:r>
    </w:p>
    <w:p>
      <w:pPr>
        <w:spacing w:before="200" w:after="0"/>
      </w:pPr>
    </w:p>
    <w:p>
      <w:pPr>
        <w:pStyle w:val="Heading2"/>
        <w:spacing w:before="360" w:after="160"/>
      </w:pPr>
      <w:r>
        <w:rPr>
          <w:rFonts w:ascii="Arial" w:cs="Arial" w:eastAsia="Arial" w:hAnsi="Arial"/>
          <w:b/>
          <w:bCs/>
          <w:color w:val="0B1D3A"/>
          <w:sz w:val="28"/>
          <w:szCs w:val="28"/>
        </w:rPr>
        <w:t xml:space="preserve">Key Messages by Pillar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D1D5DB" w:sz="1"/>
              <w:left w:val="single" w:color="D1D5DB" w:sz="1"/>
              <w:bottom w:val="single" w:color="D1D5DB" w:sz="1"/>
              <w:right w:val="single" w:color="D1D5DB" w:sz="1"/>
            </w:tcBorders>
            <w:shd w:fill="E8EDF5" w:val="clear"/>
            <w:tcMar>
              <w:top w:type="dxa" w:w="100"/>
              <w:left w:type="dxa" w:w="140"/>
              <w:bottom w:type="dxa" w:w="100"/>
              <w:right w:type="dxa" w:w="140"/>
            </w:tcMar>
          </w:tcPr>
          <w:p>
            <w:r>
              <w:rPr>
                <w:rFonts w:ascii="Arial" w:cs="Arial" w:eastAsia="Arial" w:hAnsi="Arial"/>
                <w:b/>
                <w:bCs/>
                <w:color w:val="0B1D3A"/>
                <w:sz w:val="22"/>
                <w:szCs w:val="22"/>
              </w:rPr>
              <w:t xml:space="preserve">Works Offline</w:t>
            </w:r>
          </w:p>
        </w:tc>
        <w:tc>
          <w:tcPr>
            <w:tcW w:type="dxa" w:w="6526"/>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line="300"/>
            </w:pPr>
            <w:r>
              <w:rPr>
                <w:rFonts w:ascii="Arial" w:cs="Arial" w:eastAsia="Arial" w:hAnsi="Arial"/>
                <w:color w:val="374151"/>
                <w:sz w:val="21"/>
                <w:szCs w:val="21"/>
              </w:rPr>
              <w:t xml:space="preserve">Log between cases without hunting for Wi-Fi. Everything syncs seamlessly when you’re back online.</w:t>
            </w:r>
          </w:p>
        </w:tc>
      </w:tr>
      <w:tr>
        <w:tc>
          <w:tcPr>
            <w:tcW w:type="dxa" w:w="2500"/>
            <w:tcBorders>
              <w:top w:val="single" w:color="D1D5DB" w:sz="1"/>
              <w:left w:val="single" w:color="D1D5DB" w:sz="1"/>
              <w:bottom w:val="single" w:color="D1D5DB" w:sz="1"/>
              <w:right w:val="single" w:color="D1D5DB" w:sz="1"/>
            </w:tcBorders>
            <w:shd w:fill="E8EDF5" w:val="clear"/>
            <w:tcMar>
              <w:top w:type="dxa" w:w="100"/>
              <w:left w:type="dxa" w:w="140"/>
              <w:bottom w:type="dxa" w:w="100"/>
              <w:right w:type="dxa" w:w="140"/>
            </w:tcMar>
          </w:tcPr>
          <w:p>
            <w:r>
              <w:rPr>
                <w:rFonts w:ascii="Arial" w:cs="Arial" w:eastAsia="Arial" w:hAnsi="Arial"/>
                <w:b/>
                <w:bCs/>
                <w:color w:val="0B1D3A"/>
                <w:sz w:val="22"/>
                <w:szCs w:val="22"/>
              </w:rPr>
              <w:t xml:space="preserve">ARCP-Ready</w:t>
            </w:r>
          </w:p>
        </w:tc>
        <w:tc>
          <w:tcPr>
            <w:tcW w:type="dxa" w:w="6526"/>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line="300"/>
            </w:pPr>
            <w:r>
              <w:rPr>
                <w:rFonts w:ascii="Arial" w:cs="Arial" w:eastAsia="Arial" w:hAnsi="Arial"/>
                <w:color w:val="374151"/>
                <w:sz w:val="21"/>
                <w:szCs w:val="21"/>
              </w:rPr>
              <w:t xml:space="preserve">Portfolio summaries generated automatically. Walk into your review prepared, not panicked.</w:t>
            </w:r>
          </w:p>
        </w:tc>
      </w:tr>
      <w:tr>
        <w:tc>
          <w:tcPr>
            <w:tcW w:type="dxa" w:w="2500"/>
            <w:tcBorders>
              <w:top w:val="single" w:color="D1D5DB" w:sz="1"/>
              <w:left w:val="single" w:color="D1D5DB" w:sz="1"/>
              <w:bottom w:val="single" w:color="D1D5DB" w:sz="1"/>
              <w:right w:val="single" w:color="D1D5DB" w:sz="1"/>
            </w:tcBorders>
            <w:shd w:fill="E8EDF5" w:val="clear"/>
            <w:tcMar>
              <w:top w:type="dxa" w:w="100"/>
              <w:left w:type="dxa" w:w="140"/>
              <w:bottom w:type="dxa" w:w="100"/>
              <w:right w:type="dxa" w:w="140"/>
            </w:tcMar>
          </w:tcPr>
          <w:p>
            <w:r>
              <w:rPr>
                <w:rFonts w:ascii="Arial" w:cs="Arial" w:eastAsia="Arial" w:hAnsi="Arial"/>
                <w:b/>
                <w:bCs/>
                <w:color w:val="0B1D3A"/>
                <w:sz w:val="22"/>
                <w:szCs w:val="22"/>
              </w:rPr>
              <w:t xml:space="preserve">Built for Training</w:t>
            </w:r>
          </w:p>
        </w:tc>
        <w:tc>
          <w:tcPr>
            <w:tcW w:type="dxa" w:w="6526"/>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line="300"/>
            </w:pPr>
            <w:r>
              <w:rPr>
                <w:rFonts w:ascii="Arial" w:cs="Arial" w:eastAsia="Arial" w:hAnsi="Arial"/>
                <w:color w:val="374151"/>
                <w:sz w:val="21"/>
                <w:szCs w:val="21"/>
              </w:rPr>
              <w:t xml:space="preserve">Structured around CST, ST, and CESR pathways. Tracks procedures, involvement levels, and complications the way your training programme requires.</w:t>
            </w:r>
          </w:p>
        </w:tc>
      </w:tr>
    </w:tbl>
    <w:p>
      <w:r>
        <w:br w:type="page"/>
      </w:r>
    </w:p>
    <w:p>
      <w:pPr>
        <w:spacing w:after="80"/>
      </w:pPr>
      <w:r>
        <w:rPr>
          <w:rFonts w:ascii="Arial" w:cs="Arial" w:eastAsia="Arial" w:hAnsi="Arial"/>
          <w:b/>
          <w:bCs/>
          <w:color w:val="E8943A"/>
          <w:sz w:val="20"/>
          <w:szCs w:val="20"/>
        </w:rPr>
        <w:t xml:space="preserve">08</w:t>
      </w:r>
    </w:p>
    <w:p>
      <w:pPr>
        <w:pStyle w:val="Heading1"/>
        <w:spacing w:before="480" w:after="200"/>
      </w:pPr>
      <w:r>
        <w:rPr>
          <w:rFonts w:ascii="Arial" w:cs="Arial" w:eastAsia="Arial" w:hAnsi="Arial"/>
          <w:b/>
          <w:bCs/>
          <w:color w:val="0B1D3A"/>
          <w:sz w:val="36"/>
          <w:szCs w:val="36"/>
        </w:rPr>
        <w:t xml:space="preserve">Competitive Positioning</w:t>
      </w:r>
    </w:p>
    <w:p>
      <w:pPr>
        <w:pBdr>
          <w:bottom w:val="single" w:color="0B1D3A" w:sz="4" w:space="8"/>
        </w:pBdr>
        <w:spacing w:before="200" w:after="200"/>
      </w:pPr>
    </w:p>
    <w:p>
      <w:pPr>
        <w:pStyle w:val="Heading2"/>
        <w:spacing w:before="360" w:after="160"/>
      </w:pPr>
      <w:r>
        <w:rPr>
          <w:rFonts w:ascii="Arial" w:cs="Arial" w:eastAsia="Arial" w:hAnsi="Arial"/>
          <w:b/>
          <w:bCs/>
          <w:color w:val="0B1D3A"/>
          <w:sz w:val="28"/>
          <w:szCs w:val="28"/>
        </w:rPr>
        <w:t xml:space="preserve">Against eLogbook (ISCP/JCST)</w:t>
      </w:r>
    </w:p>
    <w:p>
      <w:pPr>
        <w:spacing w:after="160" w:line="340"/>
      </w:pPr>
      <w:r>
        <w:rPr>
          <w:rFonts w:ascii="Arial" w:cs="Arial" w:eastAsia="Arial" w:hAnsi="Arial"/>
          <w:color w:val="374151"/>
          <w:sz w:val="22"/>
          <w:szCs w:val="22"/>
        </w:rPr>
        <w:t xml:space="preserve">eLogbook is the institutional default — clunky, web-based, and connectivity-dependent. Theatrelog does not attempt to replace eLogbook. Instead, position Theatrelog as the companion that makes eLogbook bearable: data lives in Theatrelog, and ends up in eLogbook when needed.</w:t>
      </w:r>
    </w:p>
    <w:p>
      <w:pPr>
        <w:pStyle w:val="Heading2"/>
        <w:spacing w:before="360" w:after="160"/>
      </w:pPr>
      <w:r>
        <w:rPr>
          <w:rFonts w:ascii="Arial" w:cs="Arial" w:eastAsia="Arial" w:hAnsi="Arial"/>
          <w:b/>
          <w:bCs/>
          <w:color w:val="0B1D3A"/>
          <w:sz w:val="28"/>
          <w:szCs w:val="28"/>
        </w:rPr>
        <w:t xml:space="preserve">Against Excel / Google Sheets</w:t>
      </w:r>
    </w:p>
    <w:p>
      <w:pPr>
        <w:spacing w:after="160" w:line="340"/>
      </w:pPr>
      <w:r>
        <w:rPr>
          <w:rFonts w:ascii="Arial" w:cs="Arial" w:eastAsia="Arial" w:hAnsi="Arial"/>
          <w:color w:val="374151"/>
          <w:sz w:val="22"/>
          <w:szCs w:val="22"/>
        </w:rPr>
        <w:t xml:space="preserve">Spreadsheets feel “free” and “flexible” — until they break. Formatting disasters, version control nightmares, and zero portfolio-readiness make them a false economy.</w:t>
      </w:r>
    </w:p>
    <w:p>
      <w:pPr>
        <w:spacing w:before="1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943A" w:sz="1"/>
              <w:left w:val="single" w:color="E8943A" w:sz="12"/>
              <w:bottom w:val="single" w:color="E8943A" w:sz="1"/>
              <w:right w:val="single" w:color="E8943A" w:sz="1"/>
            </w:tcBorders>
            <w:shd w:fill="FDF3E7" w:val="clear"/>
            <w:tcMar>
              <w:top w:type="dxa" w:w="160"/>
              <w:left w:type="dxa" w:w="200"/>
              <w:bottom w:type="dxa" w:w="160"/>
              <w:right w:type="dxa" w:w="200"/>
            </w:tcMar>
          </w:tcPr>
          <w:p>
            <w:pPr>
              <w:spacing w:after="80"/>
            </w:pPr>
            <w:r>
              <w:rPr>
                <w:rFonts w:ascii="Arial" w:cs="Arial" w:eastAsia="Arial" w:hAnsi="Arial"/>
                <w:b/>
                <w:bCs/>
                <w:color w:val="0B1D3A"/>
                <w:sz w:val="22"/>
                <w:szCs w:val="22"/>
              </w:rPr>
              <w:t xml:space="preserve">Key Messaging Against Spreadsheets</w:t>
            </w:r>
          </w:p>
          <w:p>
            <w:pPr>
              <w:spacing w:after="0" w:line="320"/>
            </w:pPr>
            <w:r>
              <w:rPr>
                <w:rFonts w:ascii="Arial" w:cs="Arial" w:eastAsia="Arial" w:hAnsi="Arial"/>
                <w:color w:val="374151"/>
                <w:sz w:val="20"/>
                <w:szCs w:val="20"/>
              </w:rPr>
              <w:t xml:space="preserve">“You’re not saving time with a spreadsheet. You’re borrowing it from the week before ARCP.”</w:t>
            </w:r>
          </w:p>
        </w:tc>
      </w:tr>
    </w:tbl>
    <w:p>
      <w:pPr>
        <w:spacing w:before="200" w:after="0"/>
      </w:pPr>
    </w:p>
    <w:p>
      <w:pPr>
        <w:pStyle w:val="Heading2"/>
        <w:spacing w:before="360" w:after="160"/>
      </w:pPr>
      <w:r>
        <w:rPr>
          <w:rFonts w:ascii="Arial" w:cs="Arial" w:eastAsia="Arial" w:hAnsi="Arial"/>
          <w:b/>
          <w:bCs/>
          <w:color w:val="0B1D3A"/>
          <w:sz w:val="28"/>
          <w:szCs w:val="28"/>
        </w:rPr>
        <w:t xml:space="preserve">Positioning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7"/>
        <w:gridCol w:w="2256"/>
      </w:tblGrid>
      <w:tr>
        <w:tc>
          <w:tcPr>
            <w:tcW w:type="dxa" w:w="2256"/>
            <w:tcBorders>
              <w:top w:val="single" w:color="D1D5DB" w:sz="1"/>
              <w:left w:val="single" w:color="D1D5DB" w:sz="1"/>
              <w:bottom w:val="single" w:color="D1D5DB" w:sz="1"/>
              <w:right w:val="single" w:color="D1D5DB" w:sz="1"/>
            </w:tcBorders>
            <w:shd w:fill="0B1D3A" w:val="clear"/>
            <w:tcMar>
              <w:top w:type="dxa" w:w="100"/>
              <w:left w:type="dxa" w:w="140"/>
              <w:bottom w:type="dxa" w:w="100"/>
              <w:right w:type="dxa" w:w="140"/>
            </w:tcMar>
          </w:tcPr>
          <w:p>
            <w:r>
              <w:rPr>
                <w:rFonts w:ascii="Arial" w:cs="Arial" w:eastAsia="Arial" w:hAnsi="Arial"/>
                <w:b/>
                <w:bCs/>
                <w:color w:val="FFFFFF"/>
                <w:sz w:val="20"/>
                <w:szCs w:val="20"/>
              </w:rPr>
              <w:t xml:space="preserve"/>
            </w:r>
          </w:p>
        </w:tc>
        <w:tc>
          <w:tcPr>
            <w:tcW w:type="dxa" w:w="2257"/>
            <w:tcBorders>
              <w:top w:val="single" w:color="D1D5DB" w:sz="1"/>
              <w:left w:val="single" w:color="D1D5DB" w:sz="1"/>
              <w:bottom w:val="single" w:color="D1D5DB" w:sz="1"/>
              <w:right w:val="single" w:color="D1D5DB" w:sz="1"/>
            </w:tcBorders>
            <w:shd w:fill="0B1D3A" w:val="clear"/>
            <w:tcMar>
              <w:top w:type="dxa" w:w="100"/>
              <w:left w:type="dxa" w:w="140"/>
              <w:bottom w:type="dxa" w:w="100"/>
              <w:right w:type="dxa" w:w="140"/>
            </w:tcMar>
          </w:tcPr>
          <w:p>
            <w:r>
              <w:rPr>
                <w:rFonts w:ascii="Arial" w:cs="Arial" w:eastAsia="Arial" w:hAnsi="Arial"/>
                <w:b/>
                <w:bCs/>
                <w:color w:val="FFFFFF"/>
                <w:sz w:val="20"/>
                <w:szCs w:val="20"/>
              </w:rPr>
              <w:t xml:space="preserve">Theatrelog</w:t>
            </w:r>
          </w:p>
        </w:tc>
        <w:tc>
          <w:tcPr>
            <w:tcW w:type="dxa" w:w="2256"/>
            <w:tcBorders>
              <w:top w:val="single" w:color="D1D5DB" w:sz="1"/>
              <w:left w:val="single" w:color="D1D5DB" w:sz="1"/>
              <w:bottom w:val="single" w:color="D1D5DB" w:sz="1"/>
              <w:right w:val="single" w:color="D1D5DB" w:sz="1"/>
            </w:tcBorders>
            <w:shd w:fill="0B1D3A" w:val="clear"/>
            <w:tcMar>
              <w:top w:type="dxa" w:w="100"/>
              <w:left w:type="dxa" w:w="140"/>
              <w:bottom w:type="dxa" w:w="100"/>
              <w:right w:type="dxa" w:w="140"/>
            </w:tcMar>
          </w:tcPr>
          <w:p>
            <w:r>
              <w:rPr>
                <w:rFonts w:ascii="Arial" w:cs="Arial" w:eastAsia="Arial" w:hAnsi="Arial"/>
                <w:b/>
                <w:bCs/>
                <w:color w:val="FFFFFF"/>
                <w:sz w:val="20"/>
                <w:szCs w:val="20"/>
              </w:rPr>
              <w:t xml:space="preserve">eLogbook</w:t>
            </w:r>
          </w:p>
        </w:tc>
        <w:tc>
          <w:tcPr>
            <w:tcW w:type="dxa" w:w="2257"/>
            <w:tcBorders>
              <w:top w:val="single" w:color="D1D5DB" w:sz="1"/>
              <w:left w:val="single" w:color="D1D5DB" w:sz="1"/>
              <w:bottom w:val="single" w:color="D1D5DB" w:sz="1"/>
              <w:right w:val="single" w:color="D1D5DB" w:sz="1"/>
            </w:tcBorders>
            <w:shd w:fill="0B1D3A" w:val="clear"/>
            <w:tcMar>
              <w:top w:type="dxa" w:w="100"/>
              <w:left w:type="dxa" w:w="140"/>
              <w:bottom w:type="dxa" w:w="100"/>
              <w:right w:type="dxa" w:w="140"/>
            </w:tcMar>
          </w:tcPr>
          <w:p>
            <w:r>
              <w:rPr>
                <w:rFonts w:ascii="Arial" w:cs="Arial" w:eastAsia="Arial" w:hAnsi="Arial"/>
                <w:b/>
                <w:bCs/>
                <w:color w:val="FFFFFF"/>
                <w:sz w:val="20"/>
                <w:szCs w:val="20"/>
              </w:rPr>
              <w:t xml:space="preserve">Spreadsheets</w:t>
            </w:r>
          </w:p>
        </w:tc>
      </w:tr>
      <w:tr>
        <w:tc>
          <w:tcPr>
            <w:tcW w:type="dxa" w:w="2256"/>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0B1D3A"/>
                <w:sz w:val="20"/>
                <w:szCs w:val="20"/>
              </w:rPr>
              <w:t xml:space="preserve">Offline logging</w:t>
            </w:r>
          </w:p>
        </w:tc>
        <w:tc>
          <w:tcPr>
            <w:tcW w:type="dxa" w:w="2257"/>
            <w:tcBorders>
              <w:top w:val="single" w:color="D1D5DB" w:sz="1"/>
              <w:left w:val="single" w:color="D1D5DB" w:sz="1"/>
              <w:bottom w:val="single" w:color="D1D5DB" w:sz="1"/>
              <w:right w:val="single" w:color="D1D5DB" w:sz="1"/>
            </w:tcBorders>
            <w:shd w:fill="E1F5EE" w:val="clear"/>
            <w:tcMar>
              <w:top w:type="dxa" w:w="100"/>
              <w:left w:type="dxa" w:w="140"/>
              <w:bottom w:type="dxa" w:w="100"/>
              <w:right w:type="dxa" w:w="140"/>
            </w:tcMar>
          </w:tcPr>
          <w:p>
            <w:r>
              <w:rPr>
                <w:rFonts w:ascii="Arial" w:cs="Arial" w:eastAsia="Arial" w:hAnsi="Arial"/>
                <w:b w:val="false"/>
                <w:bCs w:val="false"/>
                <w:color w:val="374151"/>
                <w:sz w:val="20"/>
                <w:szCs w:val="20"/>
              </w:rPr>
              <w:t xml:space="preserve">Yes</w:t>
            </w:r>
          </w:p>
        </w:tc>
        <w:tc>
          <w:tcPr>
            <w:tcW w:type="dxa" w:w="2256"/>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374151"/>
                <w:sz w:val="20"/>
                <w:szCs w:val="20"/>
              </w:rPr>
              <w:t xml:space="preserve">No</w:t>
            </w:r>
          </w:p>
        </w:tc>
        <w:tc>
          <w:tcPr>
            <w:tcW w:type="dxa" w:w="2257"/>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374151"/>
                <w:sz w:val="20"/>
                <w:szCs w:val="20"/>
              </w:rPr>
              <w:t xml:space="preserve">Partial</w:t>
            </w:r>
          </w:p>
        </w:tc>
      </w:tr>
      <w:tr>
        <w:tc>
          <w:tcPr>
            <w:tcW w:type="dxa" w:w="2256"/>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0B1D3A"/>
                <w:sz w:val="20"/>
                <w:szCs w:val="20"/>
              </w:rPr>
              <w:t xml:space="preserve">ARCP summaries</w:t>
            </w:r>
          </w:p>
        </w:tc>
        <w:tc>
          <w:tcPr>
            <w:tcW w:type="dxa" w:w="2257"/>
            <w:tcBorders>
              <w:top w:val="single" w:color="D1D5DB" w:sz="1"/>
              <w:left w:val="single" w:color="D1D5DB" w:sz="1"/>
              <w:bottom w:val="single" w:color="D1D5DB" w:sz="1"/>
              <w:right w:val="single" w:color="D1D5DB" w:sz="1"/>
            </w:tcBorders>
            <w:shd w:fill="E1F5EE" w:val="clear"/>
            <w:tcMar>
              <w:top w:type="dxa" w:w="100"/>
              <w:left w:type="dxa" w:w="140"/>
              <w:bottom w:type="dxa" w:w="100"/>
              <w:right w:type="dxa" w:w="140"/>
            </w:tcMar>
          </w:tcPr>
          <w:p>
            <w:r>
              <w:rPr>
                <w:rFonts w:ascii="Arial" w:cs="Arial" w:eastAsia="Arial" w:hAnsi="Arial"/>
                <w:b w:val="false"/>
                <w:bCs w:val="false"/>
                <w:color w:val="374151"/>
                <w:sz w:val="20"/>
                <w:szCs w:val="20"/>
              </w:rPr>
              <w:t xml:space="preserve">Auto-generated</w:t>
            </w:r>
          </w:p>
        </w:tc>
        <w:tc>
          <w:tcPr>
            <w:tcW w:type="dxa" w:w="2256"/>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374151"/>
                <w:sz w:val="20"/>
                <w:szCs w:val="20"/>
              </w:rPr>
              <w:t xml:space="preserve">Manual</w:t>
            </w:r>
          </w:p>
        </w:tc>
        <w:tc>
          <w:tcPr>
            <w:tcW w:type="dxa" w:w="2257"/>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374151"/>
                <w:sz w:val="20"/>
                <w:szCs w:val="20"/>
              </w:rPr>
              <w:t xml:space="preserve">Manual</w:t>
            </w:r>
          </w:p>
        </w:tc>
      </w:tr>
      <w:tr>
        <w:tc>
          <w:tcPr>
            <w:tcW w:type="dxa" w:w="2256"/>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0B1D3A"/>
                <w:sz w:val="20"/>
                <w:szCs w:val="20"/>
              </w:rPr>
              <w:t xml:space="preserve">UK pathway structure</w:t>
            </w:r>
          </w:p>
        </w:tc>
        <w:tc>
          <w:tcPr>
            <w:tcW w:type="dxa" w:w="2257"/>
            <w:tcBorders>
              <w:top w:val="single" w:color="D1D5DB" w:sz="1"/>
              <w:left w:val="single" w:color="D1D5DB" w:sz="1"/>
              <w:bottom w:val="single" w:color="D1D5DB" w:sz="1"/>
              <w:right w:val="single" w:color="D1D5DB" w:sz="1"/>
            </w:tcBorders>
            <w:shd w:fill="E1F5EE" w:val="clear"/>
            <w:tcMar>
              <w:top w:type="dxa" w:w="100"/>
              <w:left w:type="dxa" w:w="140"/>
              <w:bottom w:type="dxa" w:w="100"/>
              <w:right w:type="dxa" w:w="140"/>
            </w:tcMar>
          </w:tcPr>
          <w:p>
            <w:r>
              <w:rPr>
                <w:rFonts w:ascii="Arial" w:cs="Arial" w:eastAsia="Arial" w:hAnsi="Arial"/>
                <w:b w:val="false"/>
                <w:bCs w:val="false"/>
                <w:color w:val="374151"/>
                <w:sz w:val="20"/>
                <w:szCs w:val="20"/>
              </w:rPr>
              <w:t xml:space="preserve">Built-in</w:t>
            </w:r>
          </w:p>
        </w:tc>
        <w:tc>
          <w:tcPr>
            <w:tcW w:type="dxa" w:w="2256"/>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374151"/>
                <w:sz w:val="20"/>
                <w:szCs w:val="20"/>
              </w:rPr>
              <w:t xml:space="preserve">Partial</w:t>
            </w:r>
          </w:p>
        </w:tc>
        <w:tc>
          <w:tcPr>
            <w:tcW w:type="dxa" w:w="2257"/>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374151"/>
                <w:sz w:val="20"/>
                <w:szCs w:val="20"/>
              </w:rPr>
              <w:t xml:space="preserve">None</w:t>
            </w:r>
          </w:p>
        </w:tc>
      </w:tr>
      <w:tr>
        <w:tc>
          <w:tcPr>
            <w:tcW w:type="dxa" w:w="2256"/>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0B1D3A"/>
                <w:sz w:val="20"/>
                <w:szCs w:val="20"/>
              </w:rPr>
              <w:t xml:space="preserve">Mobile experience</w:t>
            </w:r>
          </w:p>
        </w:tc>
        <w:tc>
          <w:tcPr>
            <w:tcW w:type="dxa" w:w="2257"/>
            <w:tcBorders>
              <w:top w:val="single" w:color="D1D5DB" w:sz="1"/>
              <w:left w:val="single" w:color="D1D5DB" w:sz="1"/>
              <w:bottom w:val="single" w:color="D1D5DB" w:sz="1"/>
              <w:right w:val="single" w:color="D1D5DB" w:sz="1"/>
            </w:tcBorders>
            <w:shd w:fill="E1F5EE" w:val="clear"/>
            <w:tcMar>
              <w:top w:type="dxa" w:w="100"/>
              <w:left w:type="dxa" w:w="140"/>
              <w:bottom w:type="dxa" w:w="100"/>
              <w:right w:type="dxa" w:w="140"/>
            </w:tcMar>
          </w:tcPr>
          <w:p>
            <w:r>
              <w:rPr>
                <w:rFonts w:ascii="Arial" w:cs="Arial" w:eastAsia="Arial" w:hAnsi="Arial"/>
                <w:b w:val="false"/>
                <w:bCs w:val="false"/>
                <w:color w:val="374151"/>
                <w:sz w:val="20"/>
                <w:szCs w:val="20"/>
              </w:rPr>
              <w:t xml:space="preserve">Native-quality</w:t>
            </w:r>
          </w:p>
        </w:tc>
        <w:tc>
          <w:tcPr>
            <w:tcW w:type="dxa" w:w="2256"/>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374151"/>
                <w:sz w:val="20"/>
                <w:szCs w:val="20"/>
              </w:rPr>
              <w:t xml:space="preserve">Poor</w:t>
            </w:r>
          </w:p>
        </w:tc>
        <w:tc>
          <w:tcPr>
            <w:tcW w:type="dxa" w:w="2257"/>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374151"/>
                <w:sz w:val="20"/>
                <w:szCs w:val="20"/>
              </w:rPr>
              <w:t xml:space="preserve">Clunky</w:t>
            </w:r>
          </w:p>
        </w:tc>
      </w:tr>
      <w:tr>
        <w:tc>
          <w:tcPr>
            <w:tcW w:type="dxa" w:w="2256"/>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0B1D3A"/>
                <w:sz w:val="20"/>
                <w:szCs w:val="20"/>
              </w:rPr>
              <w:t xml:space="preserve">Data safety</w:t>
            </w:r>
          </w:p>
        </w:tc>
        <w:tc>
          <w:tcPr>
            <w:tcW w:type="dxa" w:w="2257"/>
            <w:tcBorders>
              <w:top w:val="single" w:color="D1D5DB" w:sz="1"/>
              <w:left w:val="single" w:color="D1D5DB" w:sz="1"/>
              <w:bottom w:val="single" w:color="D1D5DB" w:sz="1"/>
              <w:right w:val="single" w:color="D1D5DB" w:sz="1"/>
            </w:tcBorders>
            <w:shd w:fill="E1F5EE" w:val="clear"/>
            <w:tcMar>
              <w:top w:type="dxa" w:w="100"/>
              <w:left w:type="dxa" w:w="140"/>
              <w:bottom w:type="dxa" w:w="100"/>
              <w:right w:type="dxa" w:w="140"/>
            </w:tcMar>
          </w:tcPr>
          <w:p>
            <w:r>
              <w:rPr>
                <w:rFonts w:ascii="Arial" w:cs="Arial" w:eastAsia="Arial" w:hAnsi="Arial"/>
                <w:b w:val="false"/>
                <w:bCs w:val="false"/>
                <w:color w:val="374151"/>
                <w:sz w:val="20"/>
                <w:szCs w:val="20"/>
              </w:rPr>
              <w:t xml:space="preserve">Cloud sync + offline</w:t>
            </w:r>
          </w:p>
        </w:tc>
        <w:tc>
          <w:tcPr>
            <w:tcW w:type="dxa" w:w="2256"/>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374151"/>
                <w:sz w:val="20"/>
                <w:szCs w:val="20"/>
              </w:rPr>
              <w:t xml:space="preserve">Server only</w:t>
            </w:r>
          </w:p>
        </w:tc>
        <w:tc>
          <w:tcPr>
            <w:tcW w:type="dxa" w:w="2257"/>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374151"/>
                <w:sz w:val="20"/>
                <w:szCs w:val="20"/>
              </w:rPr>
              <w:t xml:space="preserve">File-based risk</w:t>
            </w:r>
          </w:p>
        </w:tc>
      </w:tr>
    </w:tbl>
    <w:p>
      <w:r>
        <w:br w:type="page"/>
      </w:r>
    </w:p>
    <w:p>
      <w:pPr>
        <w:spacing w:after="80"/>
      </w:pPr>
      <w:r>
        <w:rPr>
          <w:rFonts w:ascii="Arial" w:cs="Arial" w:eastAsia="Arial" w:hAnsi="Arial"/>
          <w:b/>
          <w:bCs/>
          <w:color w:val="E8943A"/>
          <w:sz w:val="20"/>
          <w:szCs w:val="20"/>
        </w:rPr>
        <w:t xml:space="preserve">09</w:t>
      </w:r>
    </w:p>
    <w:p>
      <w:pPr>
        <w:pStyle w:val="Heading1"/>
        <w:spacing w:before="480" w:after="200"/>
      </w:pPr>
      <w:r>
        <w:rPr>
          <w:rFonts w:ascii="Arial" w:cs="Arial" w:eastAsia="Arial" w:hAnsi="Arial"/>
          <w:b/>
          <w:bCs/>
          <w:color w:val="0B1D3A"/>
          <w:sz w:val="36"/>
          <w:szCs w:val="36"/>
        </w:rPr>
        <w:t xml:space="preserve">Target Audience</w:t>
      </w:r>
    </w:p>
    <w:p>
      <w:pPr>
        <w:pBdr>
          <w:bottom w:val="single" w:color="0B1D3A" w:sz="4" w:space="8"/>
        </w:pBdr>
        <w:spacing w:before="200" w:after="200"/>
      </w:pPr>
    </w:p>
    <w:p>
      <w:pPr>
        <w:pStyle w:val="Heading2"/>
        <w:spacing w:before="360" w:after="160"/>
      </w:pPr>
      <w:r>
        <w:rPr>
          <w:rFonts w:ascii="Arial" w:cs="Arial" w:eastAsia="Arial" w:hAnsi="Arial"/>
          <w:b/>
          <w:bCs/>
          <w:color w:val="0B1D3A"/>
          <w:sz w:val="28"/>
          <w:szCs w:val="28"/>
        </w:rPr>
        <w:t xml:space="preserve">Primary Audience</w:t>
      </w:r>
    </w:p>
    <w:p>
      <w:pPr>
        <w:spacing w:after="160" w:line="340"/>
      </w:pPr>
      <w:r>
        <w:rPr>
          <w:rFonts w:ascii="Arial" w:cs="Arial" w:eastAsia="Arial" w:hAnsi="Arial"/>
          <w:color w:val="374151"/>
          <w:sz w:val="22"/>
          <w:szCs w:val="22"/>
        </w:rPr>
        <w:t xml:space="preserve">Core Surgical Trainees (CST1–CST2) and Specialty Trainees (ST3–ST8) preparing for ARCP portfolio reviews. Particularly those in high-volume placements logging dozens of cases per week.</w:t>
      </w:r>
    </w:p>
    <w:p>
      <w:pPr>
        <w:pStyle w:val="Heading2"/>
        <w:spacing w:before="360" w:after="160"/>
      </w:pPr>
      <w:r>
        <w:rPr>
          <w:rFonts w:ascii="Arial" w:cs="Arial" w:eastAsia="Arial" w:hAnsi="Arial"/>
          <w:b/>
          <w:bCs/>
          <w:color w:val="0B1D3A"/>
          <w:sz w:val="28"/>
          <w:szCs w:val="28"/>
        </w:rPr>
        <w:t xml:space="preserve">User Persona: The Burned Trainee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6017"/>
      </w:tblGrid>
      <w:tr>
        <w:tc>
          <w:tcPr>
            <w:tcW w:type="dxa" w:w="3009"/>
            <w:tcBorders>
              <w:top w:val="single" w:color="D1D5DB" w:sz="1"/>
              <w:left w:val="single" w:color="D1D5DB" w:sz="1"/>
              <w:bottom w:val="single" w:color="D1D5DB" w:sz="1"/>
              <w:right w:val="single" w:color="D1D5DB" w:sz="1"/>
            </w:tcBorders>
            <w:shd w:fill="E8EDF5" w:val="clear"/>
            <w:tcMar>
              <w:top w:type="dxa" w:w="100"/>
              <w:left w:type="dxa" w:w="140"/>
              <w:bottom w:type="dxa" w:w="100"/>
              <w:right w:type="dxa" w:w="140"/>
            </w:tcMar>
          </w:tcPr>
          <w:p>
            <w:r>
              <w:rPr>
                <w:rFonts w:ascii="Arial" w:cs="Arial" w:eastAsia="Arial" w:hAnsi="Arial"/>
                <w:b/>
                <w:bCs/>
                <w:color w:val="0B1D3A"/>
                <w:sz w:val="20"/>
                <w:szCs w:val="20"/>
              </w:rPr>
              <w:t xml:space="preserve">Name</w:t>
            </w:r>
          </w:p>
        </w:tc>
        <w:tc>
          <w:tcPr>
            <w:tcW w:type="dxa" w:w="6017"/>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line="300"/>
            </w:pPr>
            <w:r>
              <w:rPr>
                <w:rFonts w:ascii="Arial" w:cs="Arial" w:eastAsia="Arial" w:hAnsi="Arial"/>
                <w:color w:val="374151"/>
                <w:sz w:val="20"/>
                <w:szCs w:val="20"/>
              </w:rPr>
              <w:t xml:space="preserve">Dr. Sarah Chen, ST4 General Surgery</w:t>
            </w:r>
          </w:p>
        </w:tc>
      </w:tr>
      <w:tr>
        <w:tc>
          <w:tcPr>
            <w:tcW w:type="dxa" w:w="3009"/>
            <w:tcBorders>
              <w:top w:val="single" w:color="D1D5DB" w:sz="1"/>
              <w:left w:val="single" w:color="D1D5DB" w:sz="1"/>
              <w:bottom w:val="single" w:color="D1D5DB" w:sz="1"/>
              <w:right w:val="single" w:color="D1D5DB" w:sz="1"/>
            </w:tcBorders>
            <w:shd w:fill="E8EDF5" w:val="clear"/>
            <w:tcMar>
              <w:top w:type="dxa" w:w="100"/>
              <w:left w:type="dxa" w:w="140"/>
              <w:bottom w:type="dxa" w:w="100"/>
              <w:right w:type="dxa" w:w="140"/>
            </w:tcMar>
          </w:tcPr>
          <w:p>
            <w:r>
              <w:rPr>
                <w:rFonts w:ascii="Arial" w:cs="Arial" w:eastAsia="Arial" w:hAnsi="Arial"/>
                <w:b/>
                <w:bCs/>
                <w:color w:val="0B1D3A"/>
                <w:sz w:val="20"/>
                <w:szCs w:val="20"/>
              </w:rPr>
              <w:t xml:space="preserve">Age</w:t>
            </w:r>
          </w:p>
        </w:tc>
        <w:tc>
          <w:tcPr>
            <w:tcW w:type="dxa" w:w="6017"/>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line="300"/>
            </w:pPr>
            <w:r>
              <w:rPr>
                <w:rFonts w:ascii="Arial" w:cs="Arial" w:eastAsia="Arial" w:hAnsi="Arial"/>
                <w:color w:val="374151"/>
                <w:sz w:val="20"/>
                <w:szCs w:val="20"/>
              </w:rPr>
              <w:t xml:space="preserve">29</w:t>
            </w:r>
          </w:p>
        </w:tc>
      </w:tr>
      <w:tr>
        <w:tc>
          <w:tcPr>
            <w:tcW w:type="dxa" w:w="3009"/>
            <w:tcBorders>
              <w:top w:val="single" w:color="D1D5DB" w:sz="1"/>
              <w:left w:val="single" w:color="D1D5DB" w:sz="1"/>
              <w:bottom w:val="single" w:color="D1D5DB" w:sz="1"/>
              <w:right w:val="single" w:color="D1D5DB" w:sz="1"/>
            </w:tcBorders>
            <w:shd w:fill="E8EDF5" w:val="clear"/>
            <w:tcMar>
              <w:top w:type="dxa" w:w="100"/>
              <w:left w:type="dxa" w:w="140"/>
              <w:bottom w:type="dxa" w:w="100"/>
              <w:right w:type="dxa" w:w="140"/>
            </w:tcMar>
          </w:tcPr>
          <w:p>
            <w:r>
              <w:rPr>
                <w:rFonts w:ascii="Arial" w:cs="Arial" w:eastAsia="Arial" w:hAnsi="Arial"/>
                <w:b/>
                <w:bCs/>
                <w:color w:val="0B1D3A"/>
                <w:sz w:val="20"/>
                <w:szCs w:val="20"/>
              </w:rPr>
              <w:t xml:space="preserve">Pain Point</w:t>
            </w:r>
          </w:p>
        </w:tc>
        <w:tc>
          <w:tcPr>
            <w:tcW w:type="dxa" w:w="6017"/>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line="300"/>
            </w:pPr>
            <w:r>
              <w:rPr>
                <w:rFonts w:ascii="Arial" w:cs="Arial" w:eastAsia="Arial" w:hAnsi="Arial"/>
                <w:color w:val="374151"/>
                <w:sz w:val="20"/>
                <w:szCs w:val="20"/>
              </w:rPr>
              <w:t xml:space="preserve">Lost a year’s worth of logged cases when her Excel file corrupted two weeks before ARCP</w:t>
            </w:r>
          </w:p>
        </w:tc>
      </w:tr>
      <w:tr>
        <w:tc>
          <w:tcPr>
            <w:tcW w:type="dxa" w:w="3009"/>
            <w:tcBorders>
              <w:top w:val="single" w:color="D1D5DB" w:sz="1"/>
              <w:left w:val="single" w:color="D1D5DB" w:sz="1"/>
              <w:bottom w:val="single" w:color="D1D5DB" w:sz="1"/>
              <w:right w:val="single" w:color="D1D5DB" w:sz="1"/>
            </w:tcBorders>
            <w:shd w:fill="E8EDF5" w:val="clear"/>
            <w:tcMar>
              <w:top w:type="dxa" w:w="100"/>
              <w:left w:type="dxa" w:w="140"/>
              <w:bottom w:type="dxa" w:w="100"/>
              <w:right w:type="dxa" w:w="140"/>
            </w:tcMar>
          </w:tcPr>
          <w:p>
            <w:r>
              <w:rPr>
                <w:rFonts w:ascii="Arial" w:cs="Arial" w:eastAsia="Arial" w:hAnsi="Arial"/>
                <w:b/>
                <w:bCs/>
                <w:color w:val="0B1D3A"/>
                <w:sz w:val="20"/>
                <w:szCs w:val="20"/>
              </w:rPr>
              <w:t xml:space="preserve">Behaviour</w:t>
            </w:r>
          </w:p>
        </w:tc>
        <w:tc>
          <w:tcPr>
            <w:tcW w:type="dxa" w:w="6017"/>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line="300"/>
            </w:pPr>
            <w:r>
              <w:rPr>
                <w:rFonts w:ascii="Arial" w:cs="Arial" w:eastAsia="Arial" w:hAnsi="Arial"/>
                <w:color w:val="374151"/>
                <w:sz w:val="20"/>
                <w:szCs w:val="20"/>
              </w:rPr>
              <w:t xml:space="preserve">Logs cases in batches (usually Sunday evenings), often forgets details by then</w:t>
            </w:r>
          </w:p>
        </w:tc>
      </w:tr>
      <w:tr>
        <w:tc>
          <w:tcPr>
            <w:tcW w:type="dxa" w:w="3009"/>
            <w:tcBorders>
              <w:top w:val="single" w:color="D1D5DB" w:sz="1"/>
              <w:left w:val="single" w:color="D1D5DB" w:sz="1"/>
              <w:bottom w:val="single" w:color="D1D5DB" w:sz="1"/>
              <w:right w:val="single" w:color="D1D5DB" w:sz="1"/>
            </w:tcBorders>
            <w:shd w:fill="E8EDF5" w:val="clear"/>
            <w:tcMar>
              <w:top w:type="dxa" w:w="100"/>
              <w:left w:type="dxa" w:w="140"/>
              <w:bottom w:type="dxa" w:w="100"/>
              <w:right w:type="dxa" w:w="140"/>
            </w:tcMar>
          </w:tcPr>
          <w:p>
            <w:r>
              <w:rPr>
                <w:rFonts w:ascii="Arial" w:cs="Arial" w:eastAsia="Arial" w:hAnsi="Arial"/>
                <w:b/>
                <w:bCs/>
                <w:color w:val="0B1D3A"/>
                <w:sz w:val="20"/>
                <w:szCs w:val="20"/>
              </w:rPr>
              <w:t xml:space="preserve">What She Wants</w:t>
            </w:r>
          </w:p>
        </w:tc>
        <w:tc>
          <w:tcPr>
            <w:tcW w:type="dxa" w:w="6017"/>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line="300"/>
            </w:pPr>
            <w:r>
              <w:rPr>
                <w:rFonts w:ascii="Arial" w:cs="Arial" w:eastAsia="Arial" w:hAnsi="Arial"/>
                <w:color w:val="374151"/>
                <w:sz w:val="20"/>
                <w:szCs w:val="20"/>
              </w:rPr>
              <w:t xml:space="preserve">Something she can update in 30 seconds between cases, that’s always there when ARCP arrives</w:t>
            </w:r>
          </w:p>
        </w:tc>
      </w:tr>
      <w:tr>
        <w:tc>
          <w:tcPr>
            <w:tcW w:type="dxa" w:w="3009"/>
            <w:tcBorders>
              <w:top w:val="single" w:color="D1D5DB" w:sz="1"/>
              <w:left w:val="single" w:color="D1D5DB" w:sz="1"/>
              <w:bottom w:val="single" w:color="D1D5DB" w:sz="1"/>
              <w:right w:val="single" w:color="D1D5DB" w:sz="1"/>
            </w:tcBorders>
            <w:shd w:fill="E8EDF5" w:val="clear"/>
            <w:tcMar>
              <w:top w:type="dxa" w:w="100"/>
              <w:left w:type="dxa" w:w="140"/>
              <w:bottom w:type="dxa" w:w="100"/>
              <w:right w:type="dxa" w:w="140"/>
            </w:tcMar>
          </w:tcPr>
          <w:p>
            <w:r>
              <w:rPr>
                <w:rFonts w:ascii="Arial" w:cs="Arial" w:eastAsia="Arial" w:hAnsi="Arial"/>
                <w:b/>
                <w:bCs/>
                <w:color w:val="0B1D3A"/>
                <w:sz w:val="20"/>
                <w:szCs w:val="20"/>
              </w:rPr>
              <w:t xml:space="preserve">Quote</w:t>
            </w:r>
          </w:p>
        </w:tc>
        <w:tc>
          <w:tcPr>
            <w:tcW w:type="dxa" w:w="6017"/>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line="300"/>
            </w:pPr>
            <w:r>
              <w:rPr>
                <w:rFonts w:ascii="Arial" w:cs="Arial" w:eastAsia="Arial" w:hAnsi="Arial"/>
                <w:color w:val="374151"/>
                <w:sz w:val="20"/>
                <w:szCs w:val="20"/>
              </w:rPr>
              <w:t xml:space="preserve">“I just want something that works. I don’t need bells and whistles — I need my data to be there when I need it.”</w:t>
            </w:r>
          </w:p>
        </w:tc>
      </w:tr>
    </w:tbl>
    <w:p>
      <w:pPr>
        <w:spacing w:before="200" w:after="0"/>
      </w:pPr>
    </w:p>
    <w:p>
      <w:pPr>
        <w:pStyle w:val="Heading2"/>
        <w:spacing w:before="360" w:after="160"/>
      </w:pPr>
      <w:r>
        <w:rPr>
          <w:rFonts w:ascii="Arial" w:cs="Arial" w:eastAsia="Arial" w:hAnsi="Arial"/>
          <w:b/>
          <w:bCs/>
          <w:color w:val="0B1D3A"/>
          <w:sz w:val="28"/>
          <w:szCs w:val="28"/>
        </w:rPr>
        <w:t xml:space="preserve">Secondary Audiences</w:t>
      </w:r>
    </w:p>
    <w:p>
      <w:pPr>
        <w:pStyle w:val="ListParagraph"/>
        <w:numPr>
          <w:ilvl w:val="0"/>
          <w:numId w:val="2"/>
        </w:numPr>
        <w:spacing w:after="80" w:line="320"/>
      </w:pPr>
      <w:r>
        <w:rPr>
          <w:rFonts w:ascii="Arial" w:cs="Arial" w:eastAsia="Arial" w:hAnsi="Arial"/>
          <w:color w:val="374151"/>
          <w:sz w:val="22"/>
          <w:szCs w:val="22"/>
        </w:rPr>
        <w:t xml:space="preserve">CESR applicants building portfolios outside traditional training pathways</w:t>
      </w:r>
    </w:p>
    <w:p>
      <w:pPr>
        <w:pStyle w:val="ListParagraph"/>
        <w:numPr>
          <w:ilvl w:val="0"/>
          <w:numId w:val="2"/>
        </w:numPr>
        <w:spacing w:after="80" w:line="320"/>
      </w:pPr>
      <w:r>
        <w:rPr>
          <w:rFonts w:ascii="Arial" w:cs="Arial" w:eastAsia="Arial" w:hAnsi="Arial"/>
          <w:color w:val="374151"/>
          <w:sz w:val="22"/>
          <w:szCs w:val="22"/>
        </w:rPr>
        <w:t xml:space="preserve">Foundation doctors (FY1–FY2) considering surgical careers</w:t>
      </w:r>
    </w:p>
    <w:p>
      <w:pPr>
        <w:pStyle w:val="ListParagraph"/>
        <w:numPr>
          <w:ilvl w:val="0"/>
          <w:numId w:val="2"/>
        </w:numPr>
        <w:spacing w:after="80" w:line="320"/>
      </w:pPr>
      <w:r>
        <w:rPr>
          <w:rFonts w:ascii="Arial" w:cs="Arial" w:eastAsia="Arial" w:hAnsi="Arial"/>
          <w:color w:val="374151"/>
          <w:sz w:val="22"/>
          <w:szCs w:val="22"/>
        </w:rPr>
        <w:t xml:space="preserve">Training programme directors looking for better trainee oversight tools</w:t>
      </w:r>
    </w:p>
    <w:p>
      <w:r>
        <w:br w:type="page"/>
      </w:r>
    </w:p>
    <w:p>
      <w:pPr>
        <w:spacing w:after="80"/>
      </w:pPr>
      <w:r>
        <w:rPr>
          <w:rFonts w:ascii="Arial" w:cs="Arial" w:eastAsia="Arial" w:hAnsi="Arial"/>
          <w:b/>
          <w:bCs/>
          <w:color w:val="E8943A"/>
          <w:sz w:val="20"/>
          <w:szCs w:val="20"/>
        </w:rPr>
        <w:t xml:space="preserve">10</w:t>
      </w:r>
    </w:p>
    <w:p>
      <w:pPr>
        <w:pStyle w:val="Heading1"/>
        <w:spacing w:before="480" w:after="200"/>
      </w:pPr>
      <w:r>
        <w:rPr>
          <w:rFonts w:ascii="Arial" w:cs="Arial" w:eastAsia="Arial" w:hAnsi="Arial"/>
          <w:b/>
          <w:bCs/>
          <w:color w:val="0B1D3A"/>
          <w:sz w:val="36"/>
          <w:szCs w:val="36"/>
        </w:rPr>
        <w:t xml:space="preserve">Go-to-Market Channels</w:t>
      </w:r>
    </w:p>
    <w:p>
      <w:pPr>
        <w:pBdr>
          <w:bottom w:val="single" w:color="0B1D3A" w:sz="4" w:space="8"/>
        </w:pBdr>
        <w:spacing w:before="200" w:after="200"/>
      </w:pPr>
    </w:p>
    <w:p>
      <w:pPr>
        <w:pStyle w:val="Heading2"/>
        <w:spacing w:before="360" w:after="160"/>
      </w:pPr>
      <w:r>
        <w:rPr>
          <w:rFonts w:ascii="Arial" w:cs="Arial" w:eastAsia="Arial" w:hAnsi="Arial"/>
          <w:b/>
          <w:bCs/>
          <w:color w:val="0B1D3A"/>
          <w:sz w:val="28"/>
          <w:szCs w:val="28"/>
        </w:rPr>
        <w:t xml:space="preserve">Tier 1: Word of Mouth</w:t>
      </w:r>
    </w:p>
    <w:p>
      <w:pPr>
        <w:spacing w:after="160" w:line="340"/>
      </w:pPr>
      <w:r>
        <w:rPr>
          <w:rFonts w:ascii="Arial" w:cs="Arial" w:eastAsia="Arial" w:hAnsi="Arial"/>
          <w:color w:val="374151"/>
          <w:sz w:val="22"/>
          <w:szCs w:val="22"/>
        </w:rPr>
        <w:t xml:space="preserve">The single most powerful channel. If five trainees at one hospital love Theatrelog, their entire rotation cohort will know within weeks. Product experience is the marketing — the first 60 seconds of logging a case must feel effortless.</w:t>
      </w:r>
    </w:p>
    <w:p>
      <w:pPr>
        <w:pStyle w:val="Heading2"/>
        <w:spacing w:before="360" w:after="160"/>
      </w:pPr>
      <w:r>
        <w:rPr>
          <w:rFonts w:ascii="Arial" w:cs="Arial" w:eastAsia="Arial" w:hAnsi="Arial"/>
          <w:b/>
          <w:bCs/>
          <w:color w:val="0B1D3A"/>
          <w:sz w:val="28"/>
          <w:szCs w:val="28"/>
        </w:rPr>
        <w:t xml:space="preserve">Tier 2: Medical Social Media</w:t>
      </w:r>
    </w:p>
    <w:p>
      <w:pPr>
        <w:spacing w:after="160" w:line="340"/>
      </w:pPr>
      <w:r>
        <w:rPr>
          <w:rFonts w:ascii="Arial" w:cs="Arial" w:eastAsia="Arial" w:hAnsi="Arial"/>
          <w:color w:val="374151"/>
          <w:sz w:val="22"/>
          <w:szCs w:val="22"/>
        </w:rPr>
        <w:t xml:space="preserve">Communities like r/JuniorDoctorsUK and Medical Twitter/X are where trainees vent about the exact problems Theatrelog solves. Participate authentically — share ARCP tips and portfolio advice, and let Theatrelog come up organically.</w:t>
      </w:r>
    </w:p>
    <w:p>
      <w:pPr>
        <w:pStyle w:val="Heading2"/>
        <w:spacing w:before="360" w:after="160"/>
      </w:pPr>
      <w:r>
        <w:rPr>
          <w:rFonts w:ascii="Arial" w:cs="Arial" w:eastAsia="Arial" w:hAnsi="Arial"/>
          <w:b/>
          <w:bCs/>
          <w:color w:val="0B1D3A"/>
          <w:sz w:val="28"/>
          <w:szCs w:val="28"/>
        </w:rPr>
        <w:t xml:space="preserve">Tier 3: Surgical Society Events</w:t>
      </w:r>
    </w:p>
    <w:p>
      <w:pPr>
        <w:spacing w:after="160" w:line="340"/>
      </w:pPr>
      <w:r>
        <w:rPr>
          <w:rFonts w:ascii="Arial" w:cs="Arial" w:eastAsia="Arial" w:hAnsi="Arial"/>
          <w:color w:val="374151"/>
          <w:sz w:val="22"/>
          <w:szCs w:val="22"/>
        </w:rPr>
        <w:t xml:space="preserve">Five-minute demos at CST teaching days or regional audit meetings can land 30 users in a single session. Trainees trust recommendations from fellow trainees, especially when seen in use live.</w:t>
      </w:r>
    </w:p>
    <w:p>
      <w:pPr>
        <w:pStyle w:val="Heading2"/>
        <w:spacing w:before="360" w:after="160"/>
      </w:pPr>
      <w:r>
        <w:rPr>
          <w:rFonts w:ascii="Arial" w:cs="Arial" w:eastAsia="Arial" w:hAnsi="Arial"/>
          <w:b/>
          <w:bCs/>
          <w:color w:val="0B1D3A"/>
          <w:sz w:val="28"/>
          <w:szCs w:val="28"/>
        </w:rPr>
        <w:t xml:space="preserve">Tier 4: Medical Content Creators</w:t>
      </w:r>
    </w:p>
    <w:p>
      <w:pPr>
        <w:spacing w:after="160" w:line="340"/>
      </w:pPr>
      <w:r>
        <w:rPr>
          <w:rFonts w:ascii="Arial" w:cs="Arial" w:eastAsia="Arial" w:hAnsi="Arial"/>
          <w:color w:val="374151"/>
          <w:sz w:val="22"/>
          <w:szCs w:val="22"/>
        </w:rPr>
        <w:t xml:space="preserve">UK surgical trainees creating “day in the life” content on Instagram and TikTok offer high-visibility, low-cost partnerships with authentic reach into the target demographic.</w:t>
      </w:r>
    </w:p>
    <w:p>
      <w:pPr>
        <w:spacing w:before="300" w:after="0"/>
      </w:pPr>
    </w:p>
    <w:p>
      <w:pPr>
        <w:spacing w:after="80"/>
      </w:pPr>
      <w:r>
        <w:rPr>
          <w:rFonts w:ascii="Arial" w:cs="Arial" w:eastAsia="Arial" w:hAnsi="Arial"/>
          <w:b/>
          <w:bCs/>
          <w:color w:val="E8943A"/>
          <w:sz w:val="20"/>
          <w:szCs w:val="20"/>
        </w:rPr>
        <w:t xml:space="preserve">11</w:t>
      </w:r>
    </w:p>
    <w:p>
      <w:pPr>
        <w:pStyle w:val="Heading1"/>
        <w:spacing w:before="480" w:after="200"/>
      </w:pPr>
      <w:r>
        <w:rPr>
          <w:rFonts w:ascii="Arial" w:cs="Arial" w:eastAsia="Arial" w:hAnsi="Arial"/>
          <w:b/>
          <w:bCs/>
          <w:color w:val="0B1D3A"/>
          <w:sz w:val="36"/>
          <w:szCs w:val="36"/>
        </w:rPr>
        <w:t xml:space="preserve">Pricing Strategy</w:t>
      </w:r>
    </w:p>
    <w:p>
      <w:pPr>
        <w:pBdr>
          <w:bottom w:val="single" w:color="0B1D3A" w:sz="4" w:space="8"/>
        </w:pBdr>
        <w:spacing w:before="200" w:after="200"/>
      </w:pPr>
    </w:p>
    <w:p>
      <w:pPr>
        <w:spacing w:after="160" w:line="340"/>
      </w:pPr>
      <w:r>
        <w:rPr>
          <w:rFonts w:ascii="Arial" w:cs="Arial" w:eastAsia="Arial" w:hAnsi="Arial"/>
          <w:color w:val="374151"/>
          <w:sz w:val="22"/>
          <w:szCs w:val="22"/>
        </w:rPr>
        <w:t xml:space="preserve">Junior doctors are price-sensitive after years of relatively low pay. The pricing model must feel like a non-decision, not a commitment.</w:t>
      </w:r>
    </w:p>
    <w:p>
      <w:pPr>
        <w:pStyle w:val="Heading2"/>
        <w:spacing w:before="360" w:after="160"/>
      </w:pPr>
      <w:r>
        <w:rPr>
          <w:rFonts w:ascii="Arial" w:cs="Arial" w:eastAsia="Arial" w:hAnsi="Arial"/>
          <w:b/>
          <w:bCs/>
          <w:color w:val="0B1D3A"/>
          <w:sz w:val="28"/>
          <w:szCs w:val="28"/>
        </w:rPr>
        <w:t xml:space="preserve">Recommended Structure</w:t>
      </w:r>
    </w:p>
    <w:p>
      <w:pPr>
        <w:pStyle w:val="ListParagraph"/>
        <w:numPr>
          <w:ilvl w:val="0"/>
          <w:numId w:val="2"/>
        </w:numPr>
        <w:spacing w:after="80" w:line="320"/>
      </w:pPr>
      <w:r>
        <w:rPr>
          <w:rFonts w:ascii="Arial" w:cs="Arial" w:eastAsia="Arial" w:hAnsi="Arial"/>
          <w:color w:val="374151"/>
          <w:sz w:val="22"/>
          <w:szCs w:val="22"/>
        </w:rPr>
        <w:t xml:space="preserve">Free tier: Up to 20 logged cases with basic functionality. Enough to get hooked.</w:t>
      </w:r>
    </w:p>
    <w:p>
      <w:pPr>
        <w:pStyle w:val="ListParagraph"/>
        <w:numPr>
          <w:ilvl w:val="0"/>
          <w:numId w:val="2"/>
        </w:numPr>
        <w:spacing w:after="80" w:line="320"/>
      </w:pPr>
      <w:r>
        <w:rPr>
          <w:rFonts w:ascii="Arial" w:cs="Arial" w:eastAsia="Arial" w:hAnsi="Arial"/>
          <w:color w:val="374151"/>
          <w:sz w:val="22"/>
          <w:szCs w:val="22"/>
        </w:rPr>
        <w:t xml:space="preserve">Pro (monthly): £4.99/month — unlimited cases, ARCP summaries, full export options.</w:t>
      </w:r>
    </w:p>
    <w:p>
      <w:pPr>
        <w:pStyle w:val="ListParagraph"/>
        <w:numPr>
          <w:ilvl w:val="0"/>
          <w:numId w:val="2"/>
        </w:numPr>
        <w:spacing w:after="80" w:line="320"/>
      </w:pPr>
      <w:r>
        <w:rPr>
          <w:rFonts w:ascii="Arial" w:cs="Arial" w:eastAsia="Arial" w:hAnsi="Arial"/>
          <w:color w:val="374151"/>
          <w:sz w:val="22"/>
          <w:szCs w:val="22"/>
        </w:rPr>
        <w:t xml:space="preserve">Pro (annual): £39.99/year — save £20 versus monthly. The annual lock-in carries through quieter months.</w:t>
      </w:r>
    </w:p>
    <w:p>
      <w:pPr>
        <w:spacing w:before="1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9E75" w:sz="1"/>
              <w:left w:val="single" w:color="1D9E75" w:sz="12"/>
              <w:bottom w:val="single" w:color="1D9E75" w:sz="1"/>
              <w:right w:val="single" w:color="1D9E75" w:sz="1"/>
            </w:tcBorders>
            <w:shd w:fill="E1F5EE" w:val="clear"/>
            <w:tcMar>
              <w:top w:type="dxa" w:w="160"/>
              <w:left w:type="dxa" w:w="200"/>
              <w:bottom w:type="dxa" w:w="160"/>
              <w:right w:type="dxa" w:w="200"/>
            </w:tcMar>
          </w:tcPr>
          <w:p>
            <w:pPr>
              <w:spacing w:after="80"/>
            </w:pPr>
            <w:r>
              <w:rPr>
                <w:rFonts w:ascii="Arial" w:cs="Arial" w:eastAsia="Arial" w:hAnsi="Arial"/>
                <w:b/>
                <w:bCs/>
                <w:color w:val="0B1D3A"/>
                <w:sz w:val="22"/>
                <w:szCs w:val="22"/>
              </w:rPr>
              <w:t xml:space="preserve">Conversion Trigger</w:t>
            </w:r>
          </w:p>
          <w:p>
            <w:pPr>
              <w:spacing w:after="0" w:line="320"/>
            </w:pPr>
            <w:r>
              <w:rPr>
                <w:rFonts w:ascii="Arial" w:cs="Arial" w:eastAsia="Arial" w:hAnsi="Arial"/>
                <w:color w:val="374151"/>
                <w:sz w:val="20"/>
                <w:szCs w:val="20"/>
              </w:rPr>
              <w:t xml:space="preserve">The ARCP summary generation is the strongest conversion point. This is the moment of peak pain — when the trainee realises they need their data compiled and presented professionally. Gate this feature behind the Pro tier.</w:t>
            </w:r>
          </w:p>
        </w:tc>
      </w:tr>
    </w:tbl>
    <w:p>
      <w:r>
        <w:br w:type="page"/>
      </w:r>
    </w:p>
    <w:p>
      <w:pPr>
        <w:spacing w:after="80"/>
      </w:pPr>
      <w:r>
        <w:rPr>
          <w:rFonts w:ascii="Arial" w:cs="Arial" w:eastAsia="Arial" w:hAnsi="Arial"/>
          <w:b/>
          <w:bCs/>
          <w:color w:val="E8943A"/>
          <w:sz w:val="20"/>
          <w:szCs w:val="20"/>
        </w:rPr>
        <w:t xml:space="preserve">12</w:t>
      </w:r>
    </w:p>
    <w:p>
      <w:pPr>
        <w:pStyle w:val="Heading1"/>
        <w:spacing w:before="480" w:after="200"/>
      </w:pPr>
      <w:r>
        <w:rPr>
          <w:rFonts w:ascii="Arial" w:cs="Arial" w:eastAsia="Arial" w:hAnsi="Arial"/>
          <w:b/>
          <w:bCs/>
          <w:color w:val="0B1D3A"/>
          <w:sz w:val="36"/>
          <w:szCs w:val="36"/>
        </w:rPr>
        <w:t xml:space="preserve">Do’s and Don’ts</w:t>
      </w:r>
    </w:p>
    <w:p>
      <w:pPr>
        <w:pBdr>
          <w:bottom w:val="single" w:color="0B1D3A" w:sz="4" w:space="8"/>
        </w:pBdr>
        <w:spacing w:before="200" w:after="200"/>
      </w:pPr>
    </w:p>
    <w:p>
      <w:pPr>
        <w:pStyle w:val="Heading2"/>
        <w:spacing w:before="360" w:after="160"/>
      </w:pPr>
      <w:r>
        <w:rPr>
          <w:rFonts w:ascii="Arial" w:cs="Arial" w:eastAsia="Arial" w:hAnsi="Arial"/>
          <w:b/>
          <w:bCs/>
          <w:color w:val="0B1D3A"/>
          <w:sz w:val="28"/>
          <w:szCs w:val="28"/>
        </w:rPr>
        <w:t xml:space="preserve">Brand Do’s</w:t>
      </w:r>
    </w:p>
    <w:p>
      <w:pPr>
        <w:pStyle w:val="ListParagraph"/>
        <w:numPr>
          <w:ilvl w:val="0"/>
          <w:numId w:val="2"/>
        </w:numPr>
        <w:spacing w:after="80" w:line="320"/>
      </w:pPr>
      <w:r>
        <w:rPr>
          <w:rFonts w:ascii="Arial" w:cs="Arial" w:eastAsia="Arial" w:hAnsi="Arial"/>
          <w:color w:val="374151"/>
          <w:sz w:val="22"/>
          <w:szCs w:val="22"/>
        </w:rPr>
        <w:t xml:space="preserve">Write the name as one word: Theatrelog (capital T, lowercase l)</w:t>
      </w:r>
    </w:p>
    <w:p>
      <w:pPr>
        <w:pStyle w:val="ListParagraph"/>
        <w:numPr>
          <w:ilvl w:val="0"/>
          <w:numId w:val="2"/>
        </w:numPr>
        <w:spacing w:after="80" w:line="320"/>
      </w:pPr>
      <w:r>
        <w:rPr>
          <w:rFonts w:ascii="Arial" w:cs="Arial" w:eastAsia="Arial" w:hAnsi="Arial"/>
          <w:color w:val="374151"/>
          <w:sz w:val="22"/>
          <w:szCs w:val="22"/>
        </w:rPr>
        <w:t xml:space="preserve">Use the amber accent on “log” consistently across all logo applications</w:t>
      </w:r>
    </w:p>
    <w:p>
      <w:pPr>
        <w:pStyle w:val="ListParagraph"/>
        <w:numPr>
          <w:ilvl w:val="0"/>
          <w:numId w:val="2"/>
        </w:numPr>
        <w:spacing w:after="80" w:line="320"/>
      </w:pPr>
      <w:r>
        <w:rPr>
          <w:rFonts w:ascii="Arial" w:cs="Arial" w:eastAsia="Arial" w:hAnsi="Arial"/>
          <w:color w:val="374151"/>
          <w:sz w:val="22"/>
          <w:szCs w:val="22"/>
        </w:rPr>
        <w:t xml:space="preserve">Use clear, direct language that respects the user’s intelligence</w:t>
      </w:r>
    </w:p>
    <w:p>
      <w:pPr>
        <w:pStyle w:val="ListParagraph"/>
        <w:numPr>
          <w:ilvl w:val="0"/>
          <w:numId w:val="2"/>
        </w:numPr>
        <w:spacing w:after="80" w:line="320"/>
      </w:pPr>
      <w:r>
        <w:rPr>
          <w:rFonts w:ascii="Arial" w:cs="Arial" w:eastAsia="Arial" w:hAnsi="Arial"/>
          <w:color w:val="374151"/>
          <w:sz w:val="22"/>
          <w:szCs w:val="22"/>
        </w:rPr>
        <w:t xml:space="preserve">Reference real training pathways (CST, ST, CESR, ARCP) to build credibility</w:t>
      </w:r>
    </w:p>
    <w:p>
      <w:pPr>
        <w:pStyle w:val="ListParagraph"/>
        <w:numPr>
          <w:ilvl w:val="0"/>
          <w:numId w:val="2"/>
        </w:numPr>
        <w:spacing w:after="80" w:line="320"/>
      </w:pPr>
      <w:r>
        <w:rPr>
          <w:rFonts w:ascii="Arial" w:cs="Arial" w:eastAsia="Arial" w:hAnsi="Arial"/>
          <w:color w:val="374151"/>
          <w:sz w:val="22"/>
          <w:szCs w:val="22"/>
        </w:rPr>
        <w:t xml:space="preserve">Emphasise reliability and data safety — these are non-negotiable for doctors</w:t>
      </w:r>
    </w:p>
    <w:p>
      <w:pPr>
        <w:pStyle w:val="ListParagraph"/>
        <w:numPr>
          <w:ilvl w:val="0"/>
          <w:numId w:val="2"/>
        </w:numPr>
        <w:spacing w:after="80" w:line="320"/>
      </w:pPr>
      <w:r>
        <w:rPr>
          <w:rFonts w:ascii="Arial" w:cs="Arial" w:eastAsia="Arial" w:hAnsi="Arial"/>
          <w:color w:val="374151"/>
          <w:sz w:val="22"/>
          <w:szCs w:val="22"/>
        </w:rPr>
        <w:t xml:space="preserve">Keep the visual identity clean, premium, and productivity-tool-like</w:t>
      </w:r>
    </w:p>
    <w:p>
      <w:pPr>
        <w:pStyle w:val="ListParagraph"/>
        <w:numPr>
          <w:ilvl w:val="0"/>
          <w:numId w:val="2"/>
        </w:numPr>
        <w:spacing w:after="80" w:line="320"/>
      </w:pPr>
      <w:r>
        <w:rPr>
          <w:rFonts w:ascii="Arial" w:cs="Arial" w:eastAsia="Arial" w:hAnsi="Arial"/>
          <w:color w:val="374151"/>
          <w:sz w:val="22"/>
          <w:szCs w:val="22"/>
        </w:rPr>
        <w:t xml:space="preserve">Test all designs on mobile first — that’s where most usage happens</w:t>
      </w:r>
    </w:p>
    <w:p>
      <w:pPr>
        <w:pStyle w:val="ListParagraph"/>
        <w:numPr>
          <w:ilvl w:val="0"/>
          <w:numId w:val="2"/>
        </w:numPr>
        <w:spacing w:after="80" w:line="320"/>
      </w:pPr>
      <w:r>
        <w:rPr>
          <w:rFonts w:ascii="Arial" w:cs="Arial" w:eastAsia="Arial" w:hAnsi="Arial"/>
          <w:color w:val="374151"/>
          <w:sz w:val="22"/>
          <w:szCs w:val="22"/>
        </w:rPr>
        <w:t xml:space="preserve">Use the amber accent sparingly for maximum impact</w:t>
      </w:r>
    </w:p>
    <w:p>
      <w:pPr>
        <w:spacing w:before="200" w:after="0"/>
      </w:pPr>
    </w:p>
    <w:p>
      <w:pPr>
        <w:pStyle w:val="Heading2"/>
        <w:spacing w:before="360" w:after="160"/>
      </w:pPr>
      <w:r>
        <w:rPr>
          <w:rFonts w:ascii="Arial" w:cs="Arial" w:eastAsia="Arial" w:hAnsi="Arial"/>
          <w:b/>
          <w:bCs/>
          <w:color w:val="0B1D3A"/>
          <w:sz w:val="28"/>
          <w:szCs w:val="28"/>
        </w:rPr>
        <w:t xml:space="preserve">Brand Don’ts</w:t>
      </w:r>
    </w:p>
    <w:p>
      <w:pPr>
        <w:pStyle w:val="ListParagraph"/>
        <w:numPr>
          <w:ilvl w:val="0"/>
          <w:numId w:val="2"/>
        </w:numPr>
        <w:spacing w:after="80" w:line="320"/>
      </w:pPr>
      <w:r>
        <w:rPr>
          <w:rFonts w:ascii="Arial" w:cs="Arial" w:eastAsia="Arial" w:hAnsi="Arial"/>
          <w:color w:val="374151"/>
          <w:sz w:val="22"/>
          <w:szCs w:val="22"/>
        </w:rPr>
        <w:t xml:space="preserve">Don’t write it as “Theatre Log” (two words), “theatrelog” (all lowercase), or “THEATRELOG” (all caps) in body text</w:t>
      </w:r>
    </w:p>
    <w:p>
      <w:pPr>
        <w:pStyle w:val="ListParagraph"/>
        <w:numPr>
          <w:ilvl w:val="0"/>
          <w:numId w:val="2"/>
        </w:numPr>
        <w:spacing w:after="80" w:line="320"/>
      </w:pPr>
      <w:r>
        <w:rPr>
          <w:rFonts w:ascii="Arial" w:cs="Arial" w:eastAsia="Arial" w:hAnsi="Arial"/>
          <w:color w:val="374151"/>
          <w:sz w:val="22"/>
          <w:szCs w:val="22"/>
        </w:rPr>
        <w:t xml:space="preserve">Don’t use jargon like “cloud-native”, “AI-powered”, or “next-generation”</w:t>
      </w:r>
    </w:p>
    <w:p>
      <w:pPr>
        <w:pStyle w:val="ListParagraph"/>
        <w:numPr>
          <w:ilvl w:val="0"/>
          <w:numId w:val="2"/>
        </w:numPr>
        <w:spacing w:after="80" w:line="320"/>
      </w:pPr>
      <w:r>
        <w:rPr>
          <w:rFonts w:ascii="Arial" w:cs="Arial" w:eastAsia="Arial" w:hAnsi="Arial"/>
          <w:color w:val="374151"/>
          <w:sz w:val="22"/>
          <w:szCs w:val="22"/>
        </w:rPr>
        <w:t xml:space="preserve">Don’t use medical clichés (stethoscope icons, red crosses, cartoon doctors)</w:t>
      </w:r>
    </w:p>
    <w:p>
      <w:pPr>
        <w:pStyle w:val="ListParagraph"/>
        <w:numPr>
          <w:ilvl w:val="0"/>
          <w:numId w:val="2"/>
        </w:numPr>
        <w:spacing w:after="80" w:line="320"/>
      </w:pPr>
      <w:r>
        <w:rPr>
          <w:rFonts w:ascii="Arial" w:cs="Arial" w:eastAsia="Arial" w:hAnsi="Arial"/>
          <w:color w:val="374151"/>
          <w:sz w:val="22"/>
          <w:szCs w:val="22"/>
        </w:rPr>
        <w:t xml:space="preserve">Don’t claim to “revolutionise” or “disrupt” — trainees are sceptical of big claims</w:t>
      </w:r>
    </w:p>
    <w:p>
      <w:pPr>
        <w:pStyle w:val="ListParagraph"/>
        <w:numPr>
          <w:ilvl w:val="0"/>
          <w:numId w:val="2"/>
        </w:numPr>
        <w:spacing w:after="80" w:line="320"/>
      </w:pPr>
      <w:r>
        <w:rPr>
          <w:rFonts w:ascii="Arial" w:cs="Arial" w:eastAsia="Arial" w:hAnsi="Arial"/>
          <w:color w:val="374151"/>
          <w:sz w:val="22"/>
          <w:szCs w:val="22"/>
        </w:rPr>
        <w:t xml:space="preserve">Don’t use gamification or patronising design patterns</w:t>
      </w:r>
    </w:p>
    <w:p>
      <w:pPr>
        <w:pStyle w:val="ListParagraph"/>
        <w:numPr>
          <w:ilvl w:val="0"/>
          <w:numId w:val="2"/>
        </w:numPr>
        <w:spacing w:after="80" w:line="320"/>
      </w:pPr>
      <w:r>
        <w:rPr>
          <w:rFonts w:ascii="Arial" w:cs="Arial" w:eastAsia="Arial" w:hAnsi="Arial"/>
          <w:color w:val="374151"/>
          <w:sz w:val="22"/>
          <w:szCs w:val="22"/>
        </w:rPr>
        <w:t xml:space="preserve">Don’t use the ubiquitous “medical blue” that every NHS tool defaults to</w:t>
      </w:r>
    </w:p>
    <w:p>
      <w:pPr>
        <w:pStyle w:val="ListParagraph"/>
        <w:numPr>
          <w:ilvl w:val="0"/>
          <w:numId w:val="2"/>
        </w:numPr>
        <w:spacing w:after="80" w:line="320"/>
      </w:pPr>
      <w:r>
        <w:rPr>
          <w:rFonts w:ascii="Arial" w:cs="Arial" w:eastAsia="Arial" w:hAnsi="Arial"/>
          <w:color w:val="374151"/>
          <w:sz w:val="22"/>
          <w:szCs w:val="22"/>
        </w:rPr>
        <w:t xml:space="preserve">Don’t position against eLogbook directly — position as a companion, not a replacement</w:t>
      </w:r>
    </w:p>
    <w:p>
      <w:pPr>
        <w:pStyle w:val="ListParagraph"/>
        <w:numPr>
          <w:ilvl w:val="0"/>
          <w:numId w:val="2"/>
        </w:numPr>
        <w:spacing w:after="80" w:line="320"/>
      </w:pPr>
      <w:r>
        <w:rPr>
          <w:rFonts w:ascii="Arial" w:cs="Arial" w:eastAsia="Arial" w:hAnsi="Arial"/>
          <w:color w:val="374151"/>
          <w:sz w:val="22"/>
          <w:szCs w:val="22"/>
        </w:rPr>
        <w:t xml:space="preserve">Don’t forget accessibility — contrast ratios, screen readers, and colour-blind-safe palettes matter</w:t>
      </w:r>
    </w:p>
    <w:p>
      <w:pPr>
        <w:spacing w:before="600" w:after="0"/>
      </w:pPr>
    </w:p>
    <w:p>
      <w:pPr>
        <w:pBdr>
          <w:bottom w:val="single" w:color="0B1D3A" w:sz="4" w:space="8"/>
        </w:pBdr>
        <w:spacing w:before="200" w:after="200"/>
      </w:pPr>
    </w:p>
    <w:p>
      <w:pPr>
        <w:spacing w:before="200" w:after="100"/>
        <w:jc w:val="center"/>
      </w:pPr>
      <w:r>
        <w:rPr>
          <w:rFonts w:ascii="Arial" w:cs="Arial" w:eastAsia="Arial" w:hAnsi="Arial"/>
          <w:b/>
          <w:bCs/>
          <w:color w:val="0B1D3A"/>
          <w:sz w:val="28"/>
          <w:szCs w:val="28"/>
        </w:rPr>
        <w:t xml:space="preserve">Theatre</w:t>
      </w:r>
      <w:r>
        <w:rPr>
          <w:rFonts w:ascii="Arial" w:cs="Arial" w:eastAsia="Arial" w:hAnsi="Arial"/>
          <w:color w:val="E8943A"/>
          <w:sz w:val="28"/>
          <w:szCs w:val="28"/>
        </w:rPr>
        <w:t xml:space="preserve">log</w:t>
      </w:r>
    </w:p>
    <w:p>
      <w:pPr>
        <w:spacing w:after="100"/>
        <w:jc w:val="center"/>
      </w:pPr>
      <w:r>
        <w:rPr>
          <w:rFonts w:ascii="Arial" w:cs="Arial" w:eastAsia="Arial" w:hAnsi="Arial"/>
          <w:i/>
          <w:iCs/>
          <w:color w:val="6B7280"/>
          <w:sz w:val="22"/>
          <w:szCs w:val="22"/>
        </w:rPr>
        <w:t xml:space="preserve">Your logbook, sorted.</w:t>
      </w:r>
    </w:p>
    <w:p>
      <w:pPr>
        <w:jc w:val="center"/>
      </w:pPr>
      <w:r>
        <w:rPr>
          <w:rFonts w:ascii="Arial" w:cs="Arial" w:eastAsia="Arial" w:hAnsi="Arial"/>
          <w:color w:val="6B7280"/>
          <w:sz w:val="18"/>
          <w:szCs w:val="18"/>
        </w:rPr>
        <w:t xml:space="preserve">© 2026 Theatrelog. All rights reserved.</w:t>
      </w:r>
    </w:p>
    <w:sectPr>
      <w:headerReference w:type="default" r:id="rId8"/>
      <w:footerReference w:type="default" r:id="rId9"/>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b/>
        <w:bCs/>
        <w:color w:val="0B1D3A"/>
        <w:sz w:val="16"/>
        <w:szCs w:val="16"/>
      </w:rPr>
      <w:t xml:space="preserve">THEATRELOG</w:t>
    </w:r>
    <w:r>
      <w:rPr>
        <w:rFonts w:ascii="Arial" w:cs="Arial" w:eastAsia="Arial" w:hAnsi="Arial"/>
        <w:color w:val="6B7280"/>
        <w:sz w:val="16"/>
        <w:szCs w:val="16"/>
      </w:rPr>
      <w:t xml:space="preserve">  Brand Guidelines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b/>
        <w:bCs/>
        <w:color w:val="0B1D3A"/>
        <w:sz w:val="16"/>
        <w:szCs w:val="16"/>
      </w:rPr>
      <w:t xml:space="preserve">THEATRELOG</w:t>
    </w:r>
    <w:r>
      <w:rPr>
        <w:rFonts w:ascii="Arial" w:cs="Arial" w:eastAsia="Arial" w:hAnsi="Arial"/>
        <w:color w:val="6B7280"/>
        <w:sz w:val="16"/>
        <w:szCs w:val="16"/>
      </w:rPr>
      <w:t xml:space="preserve">  Brand Guidelines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0B1D3A"/>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0B1D3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2026-03-23T20:22:33.446Z</dcterms:created>
  <dcterms:modified xsi:type="dcterms:W3CDTF">2026-03-23T20:22:33.447Z</dcterms:modified>
</cp:coreProperties>
</file>

<file path=docProps/custom.xml><?xml version="1.0" encoding="utf-8"?>
<Properties xmlns="http://schemas.openxmlformats.org/officeDocument/2006/custom-properties" xmlns:vt="http://schemas.openxmlformats.org/officeDocument/2006/docPropsVTypes"/>
</file>