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Digital Wellbeing Interventions: A Randomised Controlled Study</w:t>
      </w:r>
    </w:p>
    <w:p>
      <w:pPr>
        <w:pStyle w:val="Heading2"/>
      </w:pPr>
      <w:r>
        <w:t xml:space="preserve">Abstract</w:t>
      </w:r>
    </w:p>
    <w:p>
      <w:r>
        <w:t xml:space="preserve">This study evaluates a mobile wellbeing intervention across 240 participants over eight weeks.</w:t>
      </w:r>
    </w:p>
    <w:p>
      <w:pPr>
        <w:pStyle w:val="Heading2"/>
      </w:pPr>
      <w:r>
        <w:t xml:space="preserve">Introduction</w:t>
      </w:r>
    </w:p>
    <w:p>
      <w:r>
        <w:t xml:space="preserve">Wellbeing science has expanded into digital delivery.</w:t>
      </w:r>
    </w:p>
    <w:p>
      <w:r>
        <w:t xml:space="preserve">We test whether a smartphone programme improves flourishing.</w:t>
      </w:r>
    </w:p>
    <w:p>
      <w:pPr>
        <w:pStyle w:val="Heading2"/>
      </w:pPr>
      <w:r>
        <w:t xml:space="preserve">Methods</w:t>
      </w:r>
    </w:p>
    <w:p>
      <w:r>
        <w:t xml:space="preserve">Participants were randomised to intervention or waitlist control.</w:t>
      </w:r>
    </w:p>
    <w:p>
      <w:r>
        <w:t xml:space="preserve">Outcomes were measured with the PERMA-Profiler.</w:t>
      </w:r>
    </w:p>
    <w:p>
      <w:pPr>
        <w:pStyle w:val="Heading2"/>
      </w:pPr>
      <w:r>
        <w:t xml:space="preserve">Results</w:t>
      </w:r>
    </w:p>
    <w:p>
      <w:r>
        <w:t xml:space="preserve">The intervention group showed higher flourishing scores at follow-up.</w:t>
      </w:r>
    </w:p>
    <w:p>
      <w:pPr>
        <w:pStyle w:val="Heading2"/>
      </w:pPr>
      <w:r>
        <w:t xml:space="preserve">Discussion</w:t>
      </w:r>
    </w:p>
    <w:p>
      <w:r>
        <w:t xml:space="preserve">Findings support scalable digital wellbeing support with caveats about retention.</w:t>
      </w:r>
    </w:p>
  </w:body>
</w:document>
</file>