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왕국군 키우기 사업소개서</w:t>
      </w:r>
    </w:p>
    <w:p>
      <w:r>
        <w:rPr>
          <w:b/>
        </w:rPr>
        <w:t>세 병사의 직업을 바꾸고 자동 마법으로 전선을 돌파하는 픽셀 판타지 모바일 방치 RPG.</w:t>
      </w:r>
    </w:p>
    <w:p>
      <w:pPr>
        <w:pStyle w:val="Heading2"/>
      </w:pPr>
      <w:r>
        <w:t>핵심 고객과 이용 가치</w:t>
      </w:r>
    </w:p>
    <w:p>
      <w:r>
        <w:rPr>
          <w:b w:val="0"/>
        </w:rPr>
        <w:t xml:space="preserve">짧은 접속으로 성장을 확인하면서 편성과 투자 선택을 즐기는 이용자가 대상이다. </w:t>
      </w:r>
      <w:r>
        <w:rPr>
          <w:b/>
        </w:rPr>
        <w:t>일일 목표는 약 10분</w:t>
      </w:r>
      <w:r>
        <w:rPr>
          <w:b w:val="0"/>
        </w:rPr>
        <w:t xml:space="preserve">, </w:t>
      </w:r>
      <w:r>
        <w:rPr>
          <w:b/>
        </w:rPr>
        <w:t>추가 도전은 20~30분</w:t>
      </w:r>
      <w:r>
        <w:rPr>
          <w:b w:val="0"/>
        </w:rPr>
        <w:t>으로 나눈다. 오프라인 성장을 제공해 다음 접속에서도 강화와 진도 선택을 이어간다.</w:t>
      </w:r>
    </w:p>
    <w:p>
      <w:pPr>
        <w:pStyle w:val="Heading2"/>
      </w:pPr>
      <w:r>
        <w:t>게임의 매력과 차별성</w:t>
      </w:r>
    </w:p>
    <w:p>
      <w:r>
        <w:rPr>
          <w:b w:val="0"/>
        </w:rPr>
        <w:t>세 말단 병사가 무너진 왕국을 되찾는 가벼운 모험을 픽셀 아트로 표현한다. 3인의 직업·장비와 마탑을 조합해 생존, 단일 보스 화력, 다수 적 처치 속도 사이에서 선택하게 한다.</w:t>
      </w:r>
    </w:p>
    <w:p>
      <w:r>
        <w:rPr>
          <w:b w:val="0"/>
        </w:rPr>
        <w:t xml:space="preserve">골드 던전은 제한시간 동안 잡은 미믹의 골드를 </w:t>
      </w:r>
      <w:r>
        <w:rPr>
          <w:b/>
        </w:rPr>
        <w:t>실패해도 남긴다</w:t>
      </w:r>
      <w:r>
        <w:rPr>
          <w:b w:val="0"/>
        </w:rPr>
        <w:t>. 루비 던전은 보스마다 30초를 새로 부여하고 HP와 스킬 쿨타임을 이어가, 같은 편성으로 다른 전투 판단을 요구한다.</w:t>
      </w:r>
    </w:p>
    <w:p>
      <w:r>
        <w:rPr>
          <w:b w:val="0"/>
        </w:rPr>
        <w:t xml:space="preserve">필수 스킬은 진도로 확정 해금하고 일일 보상은 구매·광고·뽑기 없이 완료할 수 있게 설계한다. 장비 수집의 확률과 강화 실패가 겹치지 않도록 </w:t>
      </w:r>
      <w:r>
        <w:rPr>
          <w:b/>
        </w:rPr>
        <w:t>동일 장비 강화는 100% 성공</w:t>
      </w:r>
      <w:r>
        <w:rPr>
          <w:b w:val="0"/>
        </w:rPr>
        <w:t>으로 구성한다.</w:t>
      </w:r>
    </w:p>
    <w:p>
      <w:pPr>
        <w:pStyle w:val="Heading2"/>
      </w:pPr>
      <w:r>
        <w:t>사업화와 제작 범위</w:t>
      </w:r>
    </w:p>
    <w:p>
      <w:r>
        <w:t>판매 검증의 중심은 30일 시즌 패스와 일회성 성장 펀드다. 무료 진행을 바탕으로 확정 보상과 성장 선택의 가치를 판매한다. 첫 3지역 33구간 이후에는 테마를 순환하며 무한 진행한다. 전용 던전은 2종, 각 5단계다.</w:t>
      </w:r>
    </w:p>
    <w:p>
      <w:r>
        <w:rPr>
          <w:b w:val="0"/>
        </w:rPr>
        <w:t>Unity 기반 프로토타입의 전투·성장 시스템을 활용하고, 신규 적과 던전 규칙, 보상 서버 연동을 완성한다. 지원금은 이 제작 범위의 완성과 실제 이용자 테스트에 집중한다.</w:t>
      </w:r>
    </w:p>
    <w:p>
      <w:pPr>
        <w:pStyle w:val="Heading2"/>
      </w:pPr>
      <w:r>
        <w:t>수행 팀</w:t>
      </w:r>
    </w:p>
    <w:p>
      <w:r>
        <w:rPr>
          <w:b/>
        </w:rPr>
        <w:t>이의찬  기획·총괄디렉터·영업</w:t>
        <w:br/>
        <w:t>개발자 2인  게임 기능과 데이터 연동 구현</w:t>
      </w:r>
    </w:p>
    <w:p>
      <w:pPr>
        <w:pStyle w:val="Heading1"/>
        <w:pageBreakBefore/>
      </w:pPr>
      <w:r>
        <w:t>사업 모델과 수익성 검증</w:t>
      </w:r>
    </w:p>
    <w:p>
      <w:pPr>
        <w:pStyle w:val="Heading2"/>
      </w:pPr>
      <w:r>
        <w:t>판매 아이템</w:t>
      </w:r>
    </w:p>
    <w:p>
      <w:pPr>
        <w:pStyle w:val="Caption"/>
        <w:keepNext/>
      </w:pPr>
      <w:r>
        <w:rPr>
          <w:b/>
          <w:color w:val="000000"/>
        </w:rPr>
        <w:t>우선 판매 검증 후보</w:t>
      </w:r>
    </w:p>
    <w:tbl>
      <w:tblPr>
        <w:tblW w:type="auto" w:w="0"/>
        <w:jc w:val="center"/>
        <w:tblLayout w:type="fixed"/>
        <w:tblLook w:firstColumn="1" w:firstRow="1" w:lastColumn="0" w:lastRow="0" w:noHBand="0" w:noVBand="1" w:val="04A0"/>
      </w:tblPr>
      <w:tblGrid>
        <w:gridCol w:w="2324"/>
        <w:gridCol w:w="1814"/>
        <w:gridCol w:w="5613"/>
      </w:tblGrid>
      <w:tr>
        <w:trPr>
          <w:cantSplit/>
          <w:tblHeader/>
        </w:trPr>
        <w:tc>
          <w:tcPr>
            <w:tcW w:type="dxa" w:w="2324"/>
            <w:vAlign w:val="center"/>
            <w:tcMar>
              <w:top w:w="85" w:type="dxa"/>
              <w:bottom w:w="85" w:type="dxa"/>
              <w:left w:w="90" w:type="dxa"/>
              <w:right w:w="90" w:type="dxa"/>
            </w:tcMar>
            <w:tcBorders>
              <w:top w:val="single" w:sz="4" w:color="D9D9D9"/>
              <w:bottom w:val="single" w:sz="4" w:color="D9D9D9"/>
              <w:left w:val="single" w:sz="4" w:color="D9D9D9"/>
              <w:right w:val="single" w:sz="4" w:color="D9D9D9"/>
            </w:tcBorders>
            <w:shd w:fill="E5EAF0"/>
          </w:tcPr>
          <w:p>
            <w:pPr>
              <w:keepNext/>
              <w:spacing w:after="20" w:before="0" w:line="259" w:lineRule="auto"/>
              <w:jc w:val="center"/>
            </w:pPr>
            <w:r>
              <w:rPr>
                <w:b/>
                <w:color w:val="000000"/>
                <w:sz w:val="18"/>
              </w:rPr>
              <w:t>상품</w:t>
            </w:r>
          </w:p>
        </w:tc>
        <w:tc>
          <w:tcPr>
            <w:tcW w:type="dxa" w:w="1814"/>
            <w:vAlign w:val="center"/>
            <w:tcMar>
              <w:top w:w="85" w:type="dxa"/>
              <w:bottom w:w="85" w:type="dxa"/>
              <w:left w:w="90" w:type="dxa"/>
              <w:right w:w="90" w:type="dxa"/>
            </w:tcMar>
            <w:tcBorders>
              <w:top w:val="single" w:sz="4" w:color="D9D9D9"/>
              <w:bottom w:val="single" w:sz="4" w:color="D9D9D9"/>
              <w:left w:val="single" w:sz="4" w:color="D9D9D9"/>
              <w:right w:val="single" w:sz="4" w:color="D9D9D9"/>
            </w:tcBorders>
            <w:shd w:fill="E5EAF0"/>
          </w:tcPr>
          <w:p>
            <w:pPr>
              <w:keepNext/>
              <w:spacing w:after="20" w:before="0" w:line="259" w:lineRule="auto"/>
              <w:jc w:val="center"/>
            </w:pPr>
            <w:r>
              <w:rPr>
                <w:b/>
                <w:color w:val="000000"/>
                <w:sz w:val="18"/>
              </w:rPr>
              <w:t>검증 가격</w:t>
            </w:r>
          </w:p>
        </w:tc>
        <w:tc>
          <w:tcPr>
            <w:tcW w:type="dxa" w:w="5613"/>
            <w:vAlign w:val="center"/>
            <w:tcMar>
              <w:top w:w="85" w:type="dxa"/>
              <w:bottom w:w="85" w:type="dxa"/>
              <w:left w:w="90" w:type="dxa"/>
              <w:right w:w="90" w:type="dxa"/>
            </w:tcMar>
            <w:tcBorders>
              <w:top w:val="single" w:sz="4" w:color="D9D9D9"/>
              <w:bottom w:val="single" w:sz="4" w:color="D9D9D9"/>
              <w:left w:val="single" w:sz="4" w:color="D9D9D9"/>
              <w:right w:val="single" w:sz="4" w:color="D9D9D9"/>
            </w:tcBorders>
            <w:shd w:fill="E5EAF0"/>
          </w:tcPr>
          <w:p>
            <w:pPr>
              <w:keepNext/>
              <w:spacing w:after="20" w:before="0" w:line="259" w:lineRule="auto"/>
              <w:jc w:val="center"/>
            </w:pPr>
            <w:r>
              <w:rPr>
                <w:b/>
                <w:color w:val="000000"/>
                <w:sz w:val="18"/>
              </w:rPr>
              <w:t>판매 가치</w:t>
            </w:r>
          </w:p>
        </w:tc>
      </w:tr>
      <w:tr>
        <w:trPr>
          <w:cantSplit/>
        </w:trPr>
        <w:tc>
          <w:tcPr>
            <w:tcW w:type="dxa" w:w="2324"/>
            <w:vAlign w:val="center"/>
            <w:tcMar>
              <w:top w:w="85" w:type="dxa"/>
              <w:bottom w:w="85" w:type="dxa"/>
              <w:left w:w="90" w:type="dxa"/>
              <w:right w:w="90" w:type="dxa"/>
            </w:tcMar>
            <w:tcBorders>
              <w:top w:val="single" w:sz="4" w:color="D9D9D9"/>
              <w:bottom w:val="single" w:sz="4" w:color="D9D9D9"/>
              <w:left w:val="single" w:sz="4" w:color="D9D9D9"/>
              <w:right w:val="single" w:sz="4" w:color="D9D9D9"/>
            </w:tcBorders>
            <w:shd w:fill="FFFFFF"/>
          </w:tcPr>
          <w:p>
            <w:pPr>
              <w:keepNext/>
              <w:spacing w:after="20" w:before="0" w:line="259" w:lineRule="auto"/>
            </w:pPr>
            <w:r>
              <w:rPr>
                <w:b w:val="0"/>
                <w:color w:val="000000"/>
                <w:sz w:val="18"/>
              </w:rPr>
              <w:t>30일 시즌 패스</w:t>
            </w:r>
          </w:p>
        </w:tc>
        <w:tc>
          <w:tcPr>
            <w:tcW w:type="dxa" w:w="1814"/>
            <w:vAlign w:val="center"/>
            <w:tcMar>
              <w:top w:w="85" w:type="dxa"/>
              <w:bottom w:w="85" w:type="dxa"/>
              <w:left w:w="90" w:type="dxa"/>
              <w:right w:w="90" w:type="dxa"/>
            </w:tcMar>
            <w:tcBorders>
              <w:top w:val="single" w:sz="4" w:color="D9D9D9"/>
              <w:bottom w:val="single" w:sz="4" w:color="D9D9D9"/>
              <w:left w:val="single" w:sz="4" w:color="D9D9D9"/>
              <w:right w:val="single" w:sz="4" w:color="D9D9D9"/>
            </w:tcBorders>
            <w:shd w:fill="FFFFFF"/>
          </w:tcPr>
          <w:p>
            <w:pPr>
              <w:keepNext/>
              <w:spacing w:after="20" w:before="0" w:line="259" w:lineRule="auto"/>
            </w:pPr>
            <w:r>
              <w:rPr>
                <w:b w:val="0"/>
                <w:color w:val="000000"/>
                <w:sz w:val="18"/>
              </w:rPr>
              <w:t>9,900원</w:t>
            </w:r>
          </w:p>
        </w:tc>
        <w:tc>
          <w:tcPr>
            <w:tcW w:type="dxa" w:w="5613"/>
            <w:vAlign w:val="center"/>
            <w:tcMar>
              <w:top w:w="85" w:type="dxa"/>
              <w:bottom w:w="85" w:type="dxa"/>
              <w:left w:w="90" w:type="dxa"/>
              <w:right w:w="90" w:type="dxa"/>
            </w:tcMar>
            <w:tcBorders>
              <w:top w:val="single" w:sz="4" w:color="D9D9D9"/>
              <w:bottom w:val="single" w:sz="4" w:color="D9D9D9"/>
              <w:left w:val="single" w:sz="4" w:color="D9D9D9"/>
              <w:right w:val="single" w:sz="4" w:color="D9D9D9"/>
            </w:tcBorders>
            <w:shd w:fill="FFFFFF"/>
          </w:tcPr>
          <w:p>
            <w:pPr>
              <w:keepNext/>
              <w:spacing w:after="20" w:before="0" w:line="259" w:lineRule="auto"/>
            </w:pPr>
            <w:r>
              <w:rPr>
                <w:b w:val="0"/>
                <w:color w:val="000000"/>
                <w:sz w:val="18"/>
              </w:rPr>
              <w:t>기존 일일·주간 진행에 추가 고대 주화와 비전 지식 지급</w:t>
            </w:r>
          </w:p>
        </w:tc>
      </w:tr>
      <w:tr>
        <w:trPr>
          <w:cantSplit/>
        </w:trPr>
        <w:tc>
          <w:tcPr>
            <w:tcW w:type="dxa" w:w="2324"/>
            <w:vAlign w:val="center"/>
            <w:tcMar>
              <w:top w:w="85" w:type="dxa"/>
              <w:bottom w:w="85" w:type="dxa"/>
              <w:left w:w="90" w:type="dxa"/>
              <w:right w:w="90" w:type="dxa"/>
            </w:tcMar>
            <w:tcBorders>
              <w:top w:val="single" w:sz="4" w:color="D9D9D9"/>
              <w:bottom w:val="single" w:sz="4" w:color="D9D9D9"/>
              <w:left w:val="single" w:sz="4" w:color="D9D9D9"/>
              <w:right w:val="single" w:sz="4" w:color="D9D9D9"/>
            </w:tcBorders>
            <w:shd w:fill="FFFFFF"/>
          </w:tcPr>
          <w:p>
            <w:pPr>
              <w:keepNext w:val="0"/>
              <w:spacing w:after="20" w:before="0" w:line="259" w:lineRule="auto"/>
            </w:pPr>
            <w:r>
              <w:rPr>
                <w:b w:val="0"/>
                <w:color w:val="000000"/>
                <w:sz w:val="18"/>
              </w:rPr>
              <w:t>일회성 성장 펀드</w:t>
            </w:r>
          </w:p>
        </w:tc>
        <w:tc>
          <w:tcPr>
            <w:tcW w:type="dxa" w:w="1814"/>
            <w:vAlign w:val="center"/>
            <w:tcMar>
              <w:top w:w="85" w:type="dxa"/>
              <w:bottom w:w="85" w:type="dxa"/>
              <w:left w:w="90" w:type="dxa"/>
              <w:right w:w="90" w:type="dxa"/>
            </w:tcMar>
            <w:tcBorders>
              <w:top w:val="single" w:sz="4" w:color="D9D9D9"/>
              <w:bottom w:val="single" w:sz="4" w:color="D9D9D9"/>
              <w:left w:val="single" w:sz="4" w:color="D9D9D9"/>
              <w:right w:val="single" w:sz="4" w:color="D9D9D9"/>
            </w:tcBorders>
            <w:shd w:fill="FFFFFF"/>
          </w:tcPr>
          <w:p>
            <w:pPr>
              <w:keepNext w:val="0"/>
              <w:spacing w:after="20" w:before="0" w:line="259" w:lineRule="auto"/>
            </w:pPr>
            <w:r>
              <w:rPr>
                <w:b w:val="0"/>
                <w:color w:val="000000"/>
                <w:sz w:val="18"/>
              </w:rPr>
              <w:t>11,000원</w:t>
            </w:r>
          </w:p>
        </w:tc>
        <w:tc>
          <w:tcPr>
            <w:tcW w:type="dxa" w:w="5613"/>
            <w:vAlign w:val="center"/>
            <w:tcMar>
              <w:top w:w="85" w:type="dxa"/>
              <w:bottom w:w="85" w:type="dxa"/>
              <w:left w:w="90" w:type="dxa"/>
              <w:right w:w="90" w:type="dxa"/>
            </w:tcMar>
            <w:tcBorders>
              <w:top w:val="single" w:sz="4" w:color="D9D9D9"/>
              <w:bottom w:val="single" w:sz="4" w:color="D9D9D9"/>
              <w:left w:val="single" w:sz="4" w:color="D9D9D9"/>
              <w:right w:val="single" w:sz="4" w:color="D9D9D9"/>
            </w:tcBorders>
            <w:shd w:fill="FFFFFF"/>
          </w:tcPr>
          <w:p>
            <w:pPr>
              <w:keepNext w:val="0"/>
              <w:spacing w:after="20" w:before="0" w:line="259" w:lineRule="auto"/>
            </w:pPr>
            <w:r>
              <w:rPr>
                <w:b w:val="0"/>
                <w:color w:val="000000"/>
                <w:sz w:val="18"/>
              </w:rPr>
              <w:t>메인 최초 클리어에 맞춘 확정 성장 재화, 완료 조건 소급 수령</w:t>
            </w:r>
          </w:p>
        </w:tc>
      </w:tr>
    </w:tbl>
    <w:p>
      <w:pPr>
        <w:pStyle w:val="TableGap"/>
        <w:keepNext w:val="0"/>
        <w:spacing w:after="0" w:before="0" w:line="240" w:lineRule="auto"/>
      </w:pPr>
      <w:r>
        <w:rPr>
          <w:sz w:val="6"/>
        </w:rPr>
      </w:r>
    </w:p>
    <w:p>
      <w:r>
        <w:rPr>
          <w:b w:val="0"/>
        </w:rPr>
        <w:t>패스는 장기 이용자의 반복 구매, 성장 펀드는 초반 진행을 확인한 이용자의 첫 구매를 검증하는 상품이다. 무료 일일 완료 조건은 유지하고 유료 구매 때문에 추가 접속 숙제가 생기지 않게 한다.</w:t>
      </w:r>
    </w:p>
    <w:p>
      <w:r>
        <w:rPr>
          <w:b w:val="0"/>
        </w:rPr>
        <w:t>가격은 테스트 후보로 두고 재화 수량은 무료 주간 공급 1,000~1,100주화와 성장 도달 시간을 기준으로 조정한다. 무료 공급과 유료 공급이 같은 장부에서 섞여 구매 가치가 과대평가되지 않게 구분한다.</w:t>
      </w:r>
    </w:p>
    <w:p>
      <w:pPr>
        <w:pStyle w:val="Heading2"/>
      </w:pPr>
      <w:r>
        <w:t>상점 미리보기</w:t>
      </w:r>
    </w:p>
    <w:p>
      <w:r>
        <w:rPr>
          <w:b w:val="0"/>
        </w:rPr>
        <w:t>햄버거 메뉴의 상점에서 팝업을 열고 추천 3종, 주화와 골드 6종, 매일 광고 2종의 총 11개 상품을 확인한다. 하단 네 탐색 탭은 기존 구성을 유지한다. 상점의 구매·교환·광고 버튼은 준비 중 안내만 표시하며 현재 재화를 지급하거나 소비하지 않는다.</w:t>
      </w:r>
    </w:p>
    <w:p>
      <w:r>
        <w:rPr>
          <w:b w:val="0"/>
        </w:rPr>
        <w:t>추천 상품의 예정 구성은 광고 제거 3,900원, 작은 보급 패키지 1,500원, 든든한 보급 패키지 3,900원이다. 광고 제거는 무기한 이용과 광고 보상의 영상 없는 수령을 표시하되 일일 횟수는 유지하는 안이다. 작은 패키지는 고대주화 1,500개와 장비·마탑 뽑기권 각 10장, 든든한 패키지는 고대주화 5,000개와 각 20장이다. 이 구성으로 실제 이용 권리나 보상을 부여하지 않는다.</w:t>
      </w:r>
    </w:p>
    <w:p>
      <w:r>
        <w:rPr>
          <w:b w:val="0"/>
        </w:rPr>
        <w:t>주화 상품의 예정가는 고대주화 1,000개 1,000원, 3,300개 3,000원, 5,750개 5,000원, 12,000개 10,000원이다. 골드 보급은 30분치에 고대주화 100개, 2시간치에 300개를 표시하는 미리보기다. 실제 판매가는 스토어 연동 후 확인하며 현재 구매나 교환은 실행되지 않는다.</w:t>
      </w:r>
    </w:p>
    <w:p>
      <w:r>
        <w:rPr>
          <w:b w:val="0"/>
        </w:rPr>
        <w:t>골드 미리보기는 기존 동적 퀘스트 골드의 2분 기준값을 2로 나눈 분당 수입에 30분 또는 120분을 곱하고 마지막에 내림한다. 안전 클리어 일반 웨이브, 검증된 킬/분과 현재 루비 골드 효과를 재사용하며 오프라인 효율 60%는 적용하지 않는다. 측정 전에는 기존 퀘스트의 분당 30골드 기준을 사용한다.</w:t>
      </w:r>
    </w:p>
    <w:p>
      <w:r>
        <w:rPr>
          <w:b w:val="0"/>
        </w:rPr>
        <w:t>매일 광고의 예정 구성은 장비 뽑기권 2장과 마탑 뽑기권 2장의 두 독립 상품이다. 각 상품은 하루 1회, 한국 시간 오전 0시 초기화로 표시한다. 현재 상점에서는 광고를 재생하거나 뽑기권을 지급하지 않는다.</w:t>
      </w:r>
    </w:p>
    <w:p>
      <w:r>
        <w:rPr>
          <w:b w:val="0"/>
        </w:rPr>
        <w:t>보유 고대주화는 기존 계정 지갑의 잔액을 읽는다. 유료 구매 원장, IAP 영수증 검증과 지급, 광고 제거 이용 권리, 뽑기권 원장과 일일 상품의 광고 보상 연동은 SDK·서버 담당 구현에 연결할 범위다. 상점 UI가 별도 재화 원장을 만들거나 현재 서버 조회·저장 정책을 변경하지 않는다.</w:t>
      </w:r>
    </w:p>
    <w:p>
      <w:r>
        <w:rPr>
          <w:b w:val="0"/>
        </w:rPr>
        <w:t>오프라인 보상의 최대 8시간과 팀에서 구현한 광고 재생·보상 2배 지급 경로를 유지한다. 상점의 매일 광고 미리보기는 이 기존 경로를 대체하지 않는다. 시즌 패스와 성장 펀드는 별도 판매 검증 후보로 보존하며 현재 11개 상점 상품에는 포함하지 않는다.</w:t>
      </w:r>
    </w:p>
    <w:p>
      <w:pPr>
        <w:pStyle w:val="Heading2"/>
      </w:pPr>
      <w:r>
        <w:t>매출 산정 방식</w:t>
      </w:r>
    </w:p>
    <w:p>
      <w:r>
        <w:rPr>
          <w:b w:val="0"/>
        </w:rPr>
        <w:t>상품별 총 결제액은 실제 결제 건수와 가격으로 집계하고 환불을 별도 차감한다. 구매자 수와 전환율에는 테스트에서 관측한 값만 대입한다.</w:t>
      </w:r>
    </w:p>
    <w:p>
      <w:pPr>
        <w:spacing w:before="60" w:after="180"/>
      </w:pPr>
      <m:oMathPara>
        <m:oMath>
          <m:r>
            <m:rPr>
              <m:sty m:val="p"/>
            </m:rPr>
            <w:rPr>
              <w:rFonts w:ascii="Cambria Math" w:hAnsi="Cambria Math" w:eastAsia="맑은 고딕"/>
            </w:rPr>
            <m:t xml:space="preserve">월 총 결제액 = 9900 × 패스 결제 건수 + 11000 × 성장 펀드 결제 건수</m:t>
          </m:r>
        </m:oMath>
      </m:oMathPara>
    </w:p>
    <w:p>
      <w:pPr>
        <w:spacing w:before="60" w:after="180"/>
      </w:pPr>
      <m:oMathPara>
        <m:oMath>
          <m:r>
            <m:rPr>
              <m:sty m:val="p"/>
            </m:rPr>
            <w:rPr>
              <w:rFonts w:ascii="Cambria Math" w:hAnsi="Cambria Math" w:eastAsia="맑은 고딕"/>
            </w:rPr>
            <m:t xml:space="preserve">상품 구매율 = 해당 상품 구매자 수 / 해당 상품을 제안받은 이용자 수</m:t>
          </m:r>
        </m:oMath>
      </m:oMathPara>
    </w:p>
    <w:p>
      <w:r>
        <w:rPr>
          <w:b w:val="0"/>
        </w:rPr>
        <w:t>총 결제액에서 환불, 스토어 수수료와 변동 운영비를 각각 한 번 차감한 기여액을 획득 비용과 비교한다. 패스 재구매와 단발성 펀드 구매를 구분하고, 두 상품을 산 같은 이용자를 중복 이용자로 세지 않는다.</w:t>
      </w:r>
    </w:p>
    <w:p>
      <w:pPr>
        <w:pStyle w:val="Heading2"/>
      </w:pPr>
      <w:r>
        <w:t>이용자 확보와 재방문</w:t>
      </w:r>
    </w:p>
    <w:p>
      <w:r>
        <w:rPr>
          <w:b w:val="0"/>
        </w:rPr>
        <w:t>플레이 영상은 3인 편성 변경, 미믹 처치 골드 누적, 연속 보스전의 순서로 게임의 선택을 보여준다. 소개 페이지와 커뮤니티 테스트 모집에서는 이 세 장면과 짧은 일일 흐름을 전달한다.</w:t>
      </w:r>
    </w:p>
    <w:p>
      <w:r>
        <w:rPr>
          <w:b w:val="0"/>
        </w:rPr>
        <w:t>유입 경로별 설치 후 첫 전투, 1-11 클리어, 다음 날 복귀, 첫 구매를 측정한다. 유지율과 구매 행동을 확인한 채널부터 집행 범위를 넓힌다. 대규모 광고비 투입에 앞서 게임 내 이탈 구간과 보상 오류를 수정한다.</w:t>
      </w:r>
    </w:p>
    <w:p>
      <w:pPr>
        <w:pStyle w:val="Heading2"/>
      </w:pPr>
      <w:r>
        <w:t>확장성</w:t>
      </w:r>
    </w:p>
    <w:p>
      <w:r>
        <w:rPr>
          <w:b w:val="0"/>
        </w:rPr>
        <w:t>기본 전투와 성장 체계를 유지하면서 스테이지별 새 적·배경·보스를 추가한다. 메인 보스는 루비 던전에서도 활용해 콘텐츠 제작의 사용 범위를 넓힌다. 신규 적은 전투 역할과 공략 변화가 있는 단위로 추가한다.</w:t>
      </w:r>
    </w:p>
    <w:p>
      <w:pPr>
        <w:pStyle w:val="Heading1"/>
        <w:pageBreakBefore/>
      </w:pPr>
      <w:r>
        <w:t>개발 계획과 성과 목표</w:t>
      </w:r>
    </w:p>
    <w:p>
      <w:pPr>
        <w:pStyle w:val="Caption"/>
        <w:keepNext/>
      </w:pPr>
      <w:r>
        <w:rPr>
          <w:b/>
          <w:color w:val="000000"/>
        </w:rPr>
        <w:t>단계별 제작 산출물</w:t>
      </w:r>
    </w:p>
    <w:tbl>
      <w:tblPr>
        <w:tblW w:type="auto" w:w="0"/>
        <w:jc w:val="center"/>
        <w:tblLayout w:type="fixed"/>
        <w:tblLook w:firstColumn="1" w:firstRow="1" w:lastColumn="0" w:lastRow="0" w:noHBand="0" w:noVBand="1" w:val="04A0"/>
      </w:tblPr>
      <w:tblGrid>
        <w:gridCol w:w="1871"/>
        <w:gridCol w:w="3969"/>
        <w:gridCol w:w="3912"/>
      </w:tblGrid>
      <w:tr>
        <w:trPr>
          <w:cantSplit/>
          <w:tblHeader/>
        </w:trPr>
        <w:tc>
          <w:tcPr>
            <w:tcW w:type="dxa" w:w="1871"/>
            <w:vAlign w:val="center"/>
            <w:tcMar>
              <w:top w:w="85" w:type="dxa"/>
              <w:bottom w:w="85" w:type="dxa"/>
              <w:left w:w="90" w:type="dxa"/>
              <w:right w:w="90" w:type="dxa"/>
            </w:tcMar>
            <w:tcBorders>
              <w:top w:val="single" w:sz="4" w:color="D9D9D9"/>
              <w:bottom w:val="single" w:sz="4" w:color="D9D9D9"/>
              <w:left w:val="single" w:sz="4" w:color="D9D9D9"/>
              <w:right w:val="single" w:sz="4" w:color="D9D9D9"/>
            </w:tcBorders>
            <w:shd w:fill="E5EAF0"/>
          </w:tcPr>
          <w:p>
            <w:pPr>
              <w:keepNext/>
              <w:spacing w:after="20" w:before="0" w:line="259" w:lineRule="auto"/>
              <w:jc w:val="center"/>
            </w:pPr>
            <w:r>
              <w:rPr>
                <w:b/>
                <w:color w:val="000000"/>
                <w:sz w:val="18"/>
              </w:rPr>
              <w:t>단계</w:t>
            </w:r>
          </w:p>
        </w:tc>
        <w:tc>
          <w:tcPr>
            <w:tcW w:type="dxa" w:w="3969"/>
            <w:vAlign w:val="center"/>
            <w:tcMar>
              <w:top w:w="85" w:type="dxa"/>
              <w:bottom w:w="85" w:type="dxa"/>
              <w:left w:w="90" w:type="dxa"/>
              <w:right w:w="90" w:type="dxa"/>
            </w:tcMar>
            <w:tcBorders>
              <w:top w:val="single" w:sz="4" w:color="D9D9D9"/>
              <w:bottom w:val="single" w:sz="4" w:color="D9D9D9"/>
              <w:left w:val="single" w:sz="4" w:color="D9D9D9"/>
              <w:right w:val="single" w:sz="4" w:color="D9D9D9"/>
            </w:tcBorders>
            <w:shd w:fill="E5EAF0"/>
          </w:tcPr>
          <w:p>
            <w:pPr>
              <w:keepNext/>
              <w:spacing w:after="20" w:before="0" w:line="259" w:lineRule="auto"/>
              <w:jc w:val="center"/>
            </w:pPr>
            <w:r>
              <w:rPr>
                <w:b/>
                <w:color w:val="000000"/>
                <w:sz w:val="18"/>
              </w:rPr>
              <w:t>핵심 작업</w:t>
            </w:r>
          </w:p>
        </w:tc>
        <w:tc>
          <w:tcPr>
            <w:tcW w:type="dxa" w:w="3912"/>
            <w:vAlign w:val="center"/>
            <w:tcMar>
              <w:top w:w="85" w:type="dxa"/>
              <w:bottom w:w="85" w:type="dxa"/>
              <w:left w:w="90" w:type="dxa"/>
              <w:right w:w="90" w:type="dxa"/>
            </w:tcMar>
            <w:tcBorders>
              <w:top w:val="single" w:sz="4" w:color="D9D9D9"/>
              <w:bottom w:val="single" w:sz="4" w:color="D9D9D9"/>
              <w:left w:val="single" w:sz="4" w:color="D9D9D9"/>
              <w:right w:val="single" w:sz="4" w:color="D9D9D9"/>
            </w:tcBorders>
            <w:shd w:fill="E5EAF0"/>
          </w:tcPr>
          <w:p>
            <w:pPr>
              <w:keepNext/>
              <w:spacing w:after="20" w:before="0" w:line="259" w:lineRule="auto"/>
              <w:jc w:val="center"/>
            </w:pPr>
            <w:r>
              <w:rPr>
                <w:b/>
                <w:color w:val="000000"/>
                <w:sz w:val="18"/>
              </w:rPr>
              <w:t>완료 산출물</w:t>
            </w:r>
          </w:p>
        </w:tc>
      </w:tr>
      <w:tr>
        <w:trPr>
          <w:cantSplit/>
        </w:trPr>
        <w:tc>
          <w:tcPr>
            <w:tcW w:type="dxa" w:w="1871"/>
            <w:vAlign w:val="center"/>
            <w:tcMar>
              <w:top w:w="85" w:type="dxa"/>
              <w:bottom w:w="85" w:type="dxa"/>
              <w:left w:w="90" w:type="dxa"/>
              <w:right w:w="90" w:type="dxa"/>
            </w:tcMar>
            <w:tcBorders>
              <w:top w:val="single" w:sz="4" w:color="D9D9D9"/>
              <w:bottom w:val="single" w:sz="4" w:color="D9D9D9"/>
              <w:left w:val="single" w:sz="4" w:color="D9D9D9"/>
              <w:right w:val="single" w:sz="4" w:color="D9D9D9"/>
            </w:tcBorders>
            <w:shd w:fill="FFFFFF"/>
          </w:tcPr>
          <w:p>
            <w:pPr>
              <w:keepNext/>
              <w:spacing w:after="20" w:before="0" w:line="259" w:lineRule="auto"/>
            </w:pPr>
            <w:r>
              <w:rPr>
                <w:b w:val="0"/>
                <w:color w:val="000000"/>
                <w:sz w:val="18"/>
              </w:rPr>
              <w:t>전투와 보상 통합</w:t>
            </w:r>
          </w:p>
        </w:tc>
        <w:tc>
          <w:tcPr>
            <w:tcW w:type="dxa" w:w="3969"/>
            <w:vAlign w:val="center"/>
            <w:tcMar>
              <w:top w:w="85" w:type="dxa"/>
              <w:bottom w:w="85" w:type="dxa"/>
              <w:left w:w="90" w:type="dxa"/>
              <w:right w:w="90" w:type="dxa"/>
            </w:tcMar>
            <w:tcBorders>
              <w:top w:val="single" w:sz="4" w:color="D9D9D9"/>
              <w:bottom w:val="single" w:sz="4" w:color="D9D9D9"/>
              <w:left w:val="single" w:sz="4" w:color="D9D9D9"/>
              <w:right w:val="single" w:sz="4" w:color="D9D9D9"/>
            </w:tcBorders>
            <w:shd w:fill="FFFFFF"/>
          </w:tcPr>
          <w:p>
            <w:pPr>
              <w:keepNext/>
              <w:spacing w:after="20" w:before="0" w:line="259" w:lineRule="auto"/>
            </w:pPr>
            <w:r>
              <w:rPr>
                <w:b w:val="0"/>
                <w:color w:val="000000"/>
                <w:sz w:val="18"/>
              </w:rPr>
              <w:t>미믹 토벌, 연속 보스, 거래 원장, 오프라인 정산</w:t>
            </w:r>
          </w:p>
        </w:tc>
        <w:tc>
          <w:tcPr>
            <w:tcW w:type="dxa" w:w="3912"/>
            <w:vAlign w:val="center"/>
            <w:tcMar>
              <w:top w:w="85" w:type="dxa"/>
              <w:bottom w:w="85" w:type="dxa"/>
              <w:left w:w="90" w:type="dxa"/>
              <w:right w:w="90" w:type="dxa"/>
            </w:tcMar>
            <w:tcBorders>
              <w:top w:val="single" w:sz="4" w:color="D9D9D9"/>
              <w:bottom w:val="single" w:sz="4" w:color="D9D9D9"/>
              <w:left w:val="single" w:sz="4" w:color="D9D9D9"/>
              <w:right w:val="single" w:sz="4" w:color="D9D9D9"/>
            </w:tcBorders>
            <w:shd w:fill="FFFFFF"/>
          </w:tcPr>
          <w:p>
            <w:pPr>
              <w:keepNext/>
              <w:spacing w:after="20" w:before="0" w:line="259" w:lineRule="auto"/>
            </w:pPr>
            <w:r>
              <w:rPr>
                <w:b w:val="0"/>
                <w:color w:val="000000"/>
                <w:sz w:val="18"/>
              </w:rPr>
              <w:t>완주와 실패 보상이 일치하는 플레이 빌드</w:t>
            </w:r>
          </w:p>
        </w:tc>
      </w:tr>
      <w:tr>
        <w:trPr>
          <w:cantSplit/>
        </w:trPr>
        <w:tc>
          <w:tcPr>
            <w:tcW w:type="dxa" w:w="1871"/>
            <w:vAlign w:val="center"/>
            <w:tcMar>
              <w:top w:w="85" w:type="dxa"/>
              <w:bottom w:w="85" w:type="dxa"/>
              <w:left w:w="90" w:type="dxa"/>
              <w:right w:w="90" w:type="dxa"/>
            </w:tcMar>
            <w:tcBorders>
              <w:top w:val="single" w:sz="4" w:color="D9D9D9"/>
              <w:bottom w:val="single" w:sz="4" w:color="D9D9D9"/>
              <w:left w:val="single" w:sz="4" w:color="D9D9D9"/>
              <w:right w:val="single" w:sz="4" w:color="D9D9D9"/>
            </w:tcBorders>
            <w:shd w:fill="FFFFFF"/>
          </w:tcPr>
          <w:p>
            <w:pPr>
              <w:keepNext/>
              <w:spacing w:after="20" w:before="0" w:line="259" w:lineRule="auto"/>
            </w:pPr>
            <w:r>
              <w:rPr>
                <w:b w:val="0"/>
                <w:color w:val="000000"/>
                <w:sz w:val="18"/>
              </w:rPr>
              <w:t>콘텐츠 제작</w:t>
            </w:r>
          </w:p>
        </w:tc>
        <w:tc>
          <w:tcPr>
            <w:tcW w:type="dxa" w:w="3969"/>
            <w:vAlign w:val="center"/>
            <w:tcMar>
              <w:top w:w="85" w:type="dxa"/>
              <w:bottom w:w="85" w:type="dxa"/>
              <w:left w:w="90" w:type="dxa"/>
              <w:right w:w="90" w:type="dxa"/>
            </w:tcMar>
            <w:tcBorders>
              <w:top w:val="single" w:sz="4" w:color="D9D9D9"/>
              <w:bottom w:val="single" w:sz="4" w:color="D9D9D9"/>
              <w:left w:val="single" w:sz="4" w:color="D9D9D9"/>
              <w:right w:val="single" w:sz="4" w:color="D9D9D9"/>
            </w:tcBorders>
            <w:shd w:fill="FFFFFF"/>
          </w:tcPr>
          <w:p>
            <w:pPr>
              <w:keepNext/>
              <w:spacing w:after="20" w:before="0" w:line="259" w:lineRule="auto"/>
            </w:pPr>
            <w:r>
              <w:rPr>
                <w:b w:val="0"/>
                <w:color w:val="000000"/>
                <w:sz w:val="18"/>
              </w:rPr>
              <w:t>고블린과 신규 오크, 33웨이브, 던전 10단계, 가이드</w:t>
            </w:r>
          </w:p>
        </w:tc>
        <w:tc>
          <w:tcPr>
            <w:tcW w:type="dxa" w:w="3912"/>
            <w:vAlign w:val="center"/>
            <w:tcMar>
              <w:top w:w="85" w:type="dxa"/>
              <w:bottom w:w="85" w:type="dxa"/>
              <w:left w:w="90" w:type="dxa"/>
              <w:right w:w="90" w:type="dxa"/>
            </w:tcMar>
            <w:tcBorders>
              <w:top w:val="single" w:sz="4" w:color="D9D9D9"/>
              <w:bottom w:val="single" w:sz="4" w:color="D9D9D9"/>
              <w:left w:val="single" w:sz="4" w:color="D9D9D9"/>
              <w:right w:val="single" w:sz="4" w:color="D9D9D9"/>
            </w:tcBorders>
            <w:shd w:fill="FFFFFF"/>
          </w:tcPr>
          <w:p>
            <w:pPr>
              <w:keepNext/>
              <w:spacing w:after="20" w:before="0" w:line="259" w:lineRule="auto"/>
            </w:pPr>
            <w:r>
              <w:rPr>
                <w:b w:val="0"/>
                <w:color w:val="000000"/>
                <w:sz w:val="18"/>
              </w:rPr>
              <w:t>처음부터 베타 마지막 보스까지 이어지는 콘텐츠</w:t>
            </w:r>
          </w:p>
        </w:tc>
      </w:tr>
      <w:tr>
        <w:trPr>
          <w:cantSplit/>
        </w:trPr>
        <w:tc>
          <w:tcPr>
            <w:tcW w:type="dxa" w:w="1871"/>
            <w:vAlign w:val="center"/>
            <w:tcMar>
              <w:top w:w="85" w:type="dxa"/>
              <w:bottom w:w="85" w:type="dxa"/>
              <w:left w:w="90" w:type="dxa"/>
              <w:right w:w="90" w:type="dxa"/>
            </w:tcMar>
            <w:tcBorders>
              <w:top w:val="single" w:sz="4" w:color="D9D9D9"/>
              <w:bottom w:val="single" w:sz="4" w:color="D9D9D9"/>
              <w:left w:val="single" w:sz="4" w:color="D9D9D9"/>
              <w:right w:val="single" w:sz="4" w:color="D9D9D9"/>
            </w:tcBorders>
            <w:shd w:fill="FFFFFF"/>
          </w:tcPr>
          <w:p>
            <w:pPr>
              <w:keepNext/>
              <w:spacing w:after="20" w:before="0" w:line="259" w:lineRule="auto"/>
            </w:pPr>
            <w:r>
              <w:rPr>
                <w:b w:val="0"/>
                <w:color w:val="000000"/>
                <w:sz w:val="18"/>
              </w:rPr>
              <w:t>이용자 테스트</w:t>
            </w:r>
          </w:p>
        </w:tc>
        <w:tc>
          <w:tcPr>
            <w:tcW w:type="dxa" w:w="3969"/>
            <w:vAlign w:val="center"/>
            <w:tcMar>
              <w:top w:w="85" w:type="dxa"/>
              <w:bottom w:w="85" w:type="dxa"/>
              <w:left w:w="90" w:type="dxa"/>
              <w:right w:w="90" w:type="dxa"/>
            </w:tcMar>
            <w:tcBorders>
              <w:top w:val="single" w:sz="4" w:color="D9D9D9"/>
              <w:bottom w:val="single" w:sz="4" w:color="D9D9D9"/>
              <w:left w:val="single" w:sz="4" w:color="D9D9D9"/>
              <w:right w:val="single" w:sz="4" w:color="D9D9D9"/>
            </w:tcBorders>
            <w:shd w:fill="FFFFFF"/>
          </w:tcPr>
          <w:p>
            <w:pPr>
              <w:keepNext/>
              <w:spacing w:after="20" w:before="0" w:line="259" w:lineRule="auto"/>
            </w:pPr>
            <w:r>
              <w:rPr>
                <w:b w:val="0"/>
                <w:color w:val="000000"/>
                <w:sz w:val="18"/>
              </w:rPr>
              <w:t>일일 완료 시간, 성장 속도, 실패 구간, 재화 소비</w:t>
            </w:r>
          </w:p>
        </w:tc>
        <w:tc>
          <w:tcPr>
            <w:tcW w:type="dxa" w:w="3912"/>
            <w:vAlign w:val="center"/>
            <w:tcMar>
              <w:top w:w="85" w:type="dxa"/>
              <w:bottom w:w="85" w:type="dxa"/>
              <w:left w:w="90" w:type="dxa"/>
              <w:right w:w="90" w:type="dxa"/>
            </w:tcMar>
            <w:tcBorders>
              <w:top w:val="single" w:sz="4" w:color="D9D9D9"/>
              <w:bottom w:val="single" w:sz="4" w:color="D9D9D9"/>
              <w:left w:val="single" w:sz="4" w:color="D9D9D9"/>
              <w:right w:val="single" w:sz="4" w:color="D9D9D9"/>
            </w:tcBorders>
            <w:shd w:fill="FFFFFF"/>
          </w:tcPr>
          <w:p>
            <w:pPr>
              <w:keepNext/>
              <w:spacing w:after="20" w:before="0" w:line="259" w:lineRule="auto"/>
            </w:pPr>
            <w:r>
              <w:rPr>
                <w:b w:val="0"/>
                <w:color w:val="000000"/>
                <w:sz w:val="18"/>
              </w:rPr>
              <w:t>실제 플레이 지표와 수정 우선순위</w:t>
            </w:r>
          </w:p>
        </w:tc>
      </w:tr>
      <w:tr>
        <w:trPr>
          <w:cantSplit/>
        </w:trPr>
        <w:tc>
          <w:tcPr>
            <w:tcW w:type="dxa" w:w="1871"/>
            <w:vAlign w:val="center"/>
            <w:tcMar>
              <w:top w:w="85" w:type="dxa"/>
              <w:bottom w:w="85" w:type="dxa"/>
              <w:left w:w="90" w:type="dxa"/>
              <w:right w:w="90" w:type="dxa"/>
            </w:tcMar>
            <w:tcBorders>
              <w:top w:val="single" w:sz="4" w:color="D9D9D9"/>
              <w:bottom w:val="single" w:sz="4" w:color="D9D9D9"/>
              <w:left w:val="single" w:sz="4" w:color="D9D9D9"/>
              <w:right w:val="single" w:sz="4" w:color="D9D9D9"/>
            </w:tcBorders>
            <w:shd w:fill="FFFFFF"/>
          </w:tcPr>
          <w:p>
            <w:pPr>
              <w:keepNext w:val="0"/>
              <w:spacing w:after="20" w:before="0" w:line="259" w:lineRule="auto"/>
            </w:pPr>
            <w:r>
              <w:rPr>
                <w:b w:val="0"/>
                <w:color w:val="000000"/>
                <w:sz w:val="18"/>
              </w:rPr>
              <w:t>사업화 검증</w:t>
            </w:r>
          </w:p>
        </w:tc>
        <w:tc>
          <w:tcPr>
            <w:tcW w:type="dxa" w:w="3969"/>
            <w:vAlign w:val="center"/>
            <w:tcMar>
              <w:top w:w="85" w:type="dxa"/>
              <w:bottom w:w="85" w:type="dxa"/>
              <w:left w:w="90" w:type="dxa"/>
              <w:right w:w="90" w:type="dxa"/>
            </w:tcMar>
            <w:tcBorders>
              <w:top w:val="single" w:sz="4" w:color="D9D9D9"/>
              <w:bottom w:val="single" w:sz="4" w:color="D9D9D9"/>
              <w:left w:val="single" w:sz="4" w:color="D9D9D9"/>
              <w:right w:val="single" w:sz="4" w:color="D9D9D9"/>
            </w:tcBorders>
            <w:shd w:fill="FFFFFF"/>
          </w:tcPr>
          <w:p>
            <w:pPr>
              <w:keepNext w:val="0"/>
              <w:spacing w:after="20" w:before="0" w:line="259" w:lineRule="auto"/>
            </w:pPr>
            <w:r>
              <w:rPr>
                <w:b w:val="0"/>
                <w:color w:val="000000"/>
                <w:sz w:val="18"/>
              </w:rPr>
              <w:t>패스·펀드 구성, 구매와 재구매, 유입별 전환</w:t>
            </w:r>
          </w:p>
        </w:tc>
        <w:tc>
          <w:tcPr>
            <w:tcW w:type="dxa" w:w="3912"/>
            <w:vAlign w:val="center"/>
            <w:tcMar>
              <w:top w:w="85" w:type="dxa"/>
              <w:bottom w:w="85" w:type="dxa"/>
              <w:left w:w="90" w:type="dxa"/>
              <w:right w:w="90" w:type="dxa"/>
            </w:tcMar>
            <w:tcBorders>
              <w:top w:val="single" w:sz="4" w:color="D9D9D9"/>
              <w:bottom w:val="single" w:sz="4" w:color="D9D9D9"/>
              <w:left w:val="single" w:sz="4" w:color="D9D9D9"/>
              <w:right w:val="single" w:sz="4" w:color="D9D9D9"/>
            </w:tcBorders>
            <w:shd w:fill="FFFFFF"/>
          </w:tcPr>
          <w:p>
            <w:pPr>
              <w:keepNext w:val="0"/>
              <w:spacing w:after="20" w:before="0" w:line="259" w:lineRule="auto"/>
            </w:pPr>
            <w:r>
              <w:rPr>
                <w:b w:val="0"/>
                <w:color w:val="000000"/>
                <w:sz w:val="18"/>
              </w:rPr>
              <w:t>상품별 관측 매출과 채널별 획득 효율</w:t>
            </w:r>
          </w:p>
        </w:tc>
      </w:tr>
    </w:tbl>
    <w:p>
      <w:pPr>
        <w:pStyle w:val="TableGap"/>
        <w:keepNext w:val="0"/>
        <w:spacing w:after="0" w:before="0" w:line="240" w:lineRule="auto"/>
      </w:pPr>
      <w:r>
        <w:rPr>
          <w:sz w:val="6"/>
        </w:rPr>
      </w:r>
    </w:p>
    <w:p>
      <w:pPr>
        <w:pStyle w:val="Heading2"/>
      </w:pPr>
      <w:r>
        <w:t>지원금 활용</w:t>
      </w:r>
    </w:p>
    <w:p>
      <w:r>
        <w:rPr>
          <w:b w:val="0"/>
        </w:rPr>
        <w:t>지원금은 신규 적 제작, 던전·보상 기능 완성, 모바일 기기 검증과 테스트 운영에 사용한다. 지출은 단계별 플레이 산출물에 연결한다.</w:t>
      </w:r>
    </w:p>
    <w:p>
      <w:pPr>
        <w:pStyle w:val="Heading2"/>
      </w:pPr>
      <w:r>
        <w:t>검증할 성과</w:t>
      </w:r>
    </w:p>
    <w:p>
      <w:pPr>
        <w:pStyle w:val="Caption"/>
        <w:keepNext/>
      </w:pPr>
      <w:r>
        <w:rPr>
          <w:b/>
          <w:color w:val="000000"/>
        </w:rPr>
        <w:t>제품 성과 목표</w:t>
      </w:r>
    </w:p>
    <w:tbl>
      <w:tblPr>
        <w:tblW w:type="auto" w:w="0"/>
        <w:jc w:val="center"/>
        <w:tblLayout w:type="fixed"/>
        <w:tblLook w:firstColumn="1" w:firstRow="1" w:lastColumn="0" w:lastRow="0" w:noHBand="0" w:noVBand="1" w:val="04A0"/>
      </w:tblPr>
      <w:tblGrid>
        <w:gridCol w:w="2381"/>
        <w:gridCol w:w="7370"/>
      </w:tblGrid>
      <w:tr>
        <w:trPr>
          <w:cantSplit/>
          <w:tblHeader/>
        </w:trPr>
        <w:tc>
          <w:tcPr>
            <w:tcW w:type="dxa" w:w="2381"/>
            <w:vAlign w:val="center"/>
            <w:tcMar>
              <w:top w:w="85" w:type="dxa"/>
              <w:bottom w:w="85" w:type="dxa"/>
              <w:left w:w="90" w:type="dxa"/>
              <w:right w:w="90" w:type="dxa"/>
            </w:tcMar>
            <w:tcBorders>
              <w:top w:val="single" w:sz="4" w:color="D9D9D9"/>
              <w:bottom w:val="single" w:sz="4" w:color="D9D9D9"/>
              <w:left w:val="single" w:sz="4" w:color="D9D9D9"/>
              <w:right w:val="single" w:sz="4" w:color="D9D9D9"/>
            </w:tcBorders>
            <w:shd w:fill="E5EAF0"/>
          </w:tcPr>
          <w:p>
            <w:pPr>
              <w:keepNext/>
              <w:spacing w:after="20" w:before="0" w:line="259" w:lineRule="auto"/>
              <w:jc w:val="center"/>
            </w:pPr>
            <w:r>
              <w:rPr>
                <w:b/>
                <w:color w:val="000000"/>
                <w:sz w:val="18"/>
              </w:rPr>
              <w:t>지표</w:t>
            </w:r>
          </w:p>
        </w:tc>
        <w:tc>
          <w:tcPr>
            <w:tcW w:type="dxa" w:w="7370"/>
            <w:vAlign w:val="center"/>
            <w:tcMar>
              <w:top w:w="85" w:type="dxa"/>
              <w:bottom w:w="85" w:type="dxa"/>
              <w:left w:w="90" w:type="dxa"/>
              <w:right w:w="90" w:type="dxa"/>
            </w:tcMar>
            <w:tcBorders>
              <w:top w:val="single" w:sz="4" w:color="D9D9D9"/>
              <w:bottom w:val="single" w:sz="4" w:color="D9D9D9"/>
              <w:left w:val="single" w:sz="4" w:color="D9D9D9"/>
              <w:right w:val="single" w:sz="4" w:color="D9D9D9"/>
            </w:tcBorders>
            <w:shd w:fill="E5EAF0"/>
          </w:tcPr>
          <w:p>
            <w:pPr>
              <w:keepNext/>
              <w:spacing w:after="20" w:before="0" w:line="259" w:lineRule="auto"/>
              <w:jc w:val="center"/>
            </w:pPr>
            <w:r>
              <w:rPr>
                <w:b/>
                <w:color w:val="000000"/>
                <w:sz w:val="18"/>
              </w:rPr>
              <w:t>판정 기준</w:t>
            </w:r>
          </w:p>
        </w:tc>
      </w:tr>
      <w:tr>
        <w:trPr>
          <w:cantSplit/>
        </w:trPr>
        <w:tc>
          <w:tcPr>
            <w:tcW w:type="dxa" w:w="2381"/>
            <w:vAlign w:val="center"/>
            <w:tcMar>
              <w:top w:w="85" w:type="dxa"/>
              <w:bottom w:w="85" w:type="dxa"/>
              <w:left w:w="90" w:type="dxa"/>
              <w:right w:w="90" w:type="dxa"/>
            </w:tcMar>
            <w:tcBorders>
              <w:top w:val="single" w:sz="4" w:color="D9D9D9"/>
              <w:bottom w:val="single" w:sz="4" w:color="D9D9D9"/>
              <w:left w:val="single" w:sz="4" w:color="D9D9D9"/>
              <w:right w:val="single" w:sz="4" w:color="D9D9D9"/>
            </w:tcBorders>
            <w:shd w:fill="FFFFFF"/>
          </w:tcPr>
          <w:p>
            <w:pPr>
              <w:keepNext/>
              <w:spacing w:after="20" w:before="0" w:line="259" w:lineRule="auto"/>
            </w:pPr>
            <w:r>
              <w:rPr>
                <w:b w:val="0"/>
                <w:color w:val="000000"/>
                <w:sz w:val="18"/>
              </w:rPr>
              <w:t>일일 보상 완료</w:t>
            </w:r>
          </w:p>
        </w:tc>
        <w:tc>
          <w:tcPr>
            <w:tcW w:type="dxa" w:w="7370"/>
            <w:vAlign w:val="center"/>
            <w:tcMar>
              <w:top w:w="85" w:type="dxa"/>
              <w:bottom w:w="85" w:type="dxa"/>
              <w:left w:w="90" w:type="dxa"/>
              <w:right w:w="90" w:type="dxa"/>
            </w:tcMar>
            <w:tcBorders>
              <w:top w:val="single" w:sz="4" w:color="D9D9D9"/>
              <w:bottom w:val="single" w:sz="4" w:color="D9D9D9"/>
              <w:left w:val="single" w:sz="4" w:color="D9D9D9"/>
              <w:right w:val="single" w:sz="4" w:color="D9D9D9"/>
            </w:tcBorders>
            <w:shd w:fill="FFFFFF"/>
          </w:tcPr>
          <w:p>
            <w:pPr>
              <w:keepNext/>
              <w:spacing w:after="20" w:before="0" w:line="259" w:lineRule="auto"/>
            </w:pPr>
            <w:r>
              <w:rPr>
                <w:b w:val="0"/>
                <w:color w:val="000000"/>
                <w:sz w:val="18"/>
              </w:rPr>
              <w:t>중앙값 8~12분, 90백분위 15분 이하</w:t>
            </w:r>
          </w:p>
        </w:tc>
      </w:tr>
      <w:tr>
        <w:trPr>
          <w:cantSplit/>
        </w:trPr>
        <w:tc>
          <w:tcPr>
            <w:tcW w:type="dxa" w:w="2381"/>
            <w:vAlign w:val="center"/>
            <w:tcMar>
              <w:top w:w="85" w:type="dxa"/>
              <w:bottom w:w="85" w:type="dxa"/>
              <w:left w:w="90" w:type="dxa"/>
              <w:right w:w="90" w:type="dxa"/>
            </w:tcMar>
            <w:tcBorders>
              <w:top w:val="single" w:sz="4" w:color="D9D9D9"/>
              <w:bottom w:val="single" w:sz="4" w:color="D9D9D9"/>
              <w:left w:val="single" w:sz="4" w:color="D9D9D9"/>
              <w:right w:val="single" w:sz="4" w:color="D9D9D9"/>
            </w:tcBorders>
            <w:shd w:fill="FFFFFF"/>
          </w:tcPr>
          <w:p>
            <w:pPr>
              <w:keepNext/>
              <w:spacing w:after="20" w:before="0" w:line="259" w:lineRule="auto"/>
            </w:pPr>
            <w:r>
              <w:rPr>
                <w:b w:val="0"/>
                <w:color w:val="000000"/>
                <w:sz w:val="18"/>
              </w:rPr>
              <w:t>추가 진행</w:t>
            </w:r>
          </w:p>
        </w:tc>
        <w:tc>
          <w:tcPr>
            <w:tcW w:type="dxa" w:w="7370"/>
            <w:vAlign w:val="center"/>
            <w:tcMar>
              <w:top w:w="85" w:type="dxa"/>
              <w:bottom w:w="85" w:type="dxa"/>
              <w:left w:w="90" w:type="dxa"/>
              <w:right w:w="90" w:type="dxa"/>
            </w:tcMar>
            <w:tcBorders>
              <w:top w:val="single" w:sz="4" w:color="D9D9D9"/>
              <w:bottom w:val="single" w:sz="4" w:color="D9D9D9"/>
              <w:left w:val="single" w:sz="4" w:color="D9D9D9"/>
              <w:right w:val="single" w:sz="4" w:color="D9D9D9"/>
            </w:tcBorders>
            <w:shd w:fill="FFFFFF"/>
          </w:tcPr>
          <w:p>
            <w:pPr>
              <w:keepNext/>
              <w:spacing w:after="20" w:before="0" w:line="259" w:lineRule="auto"/>
            </w:pPr>
            <w:r>
              <w:rPr>
                <w:b w:val="0"/>
                <w:color w:val="000000"/>
                <w:sz w:val="18"/>
              </w:rPr>
              <w:t>주간과 진도를 위한 20~30분 선택 플레이</w:t>
            </w:r>
          </w:p>
        </w:tc>
      </w:tr>
      <w:tr>
        <w:trPr>
          <w:cantSplit/>
        </w:trPr>
        <w:tc>
          <w:tcPr>
            <w:tcW w:type="dxa" w:w="2381"/>
            <w:vAlign w:val="center"/>
            <w:tcMar>
              <w:top w:w="85" w:type="dxa"/>
              <w:bottom w:w="85" w:type="dxa"/>
              <w:left w:w="90" w:type="dxa"/>
              <w:right w:w="90" w:type="dxa"/>
            </w:tcMar>
            <w:tcBorders>
              <w:top w:val="single" w:sz="4" w:color="D9D9D9"/>
              <w:bottom w:val="single" w:sz="4" w:color="D9D9D9"/>
              <w:left w:val="single" w:sz="4" w:color="D9D9D9"/>
              <w:right w:val="single" w:sz="4" w:color="D9D9D9"/>
            </w:tcBorders>
            <w:shd w:fill="FFFFFF"/>
          </w:tcPr>
          <w:p>
            <w:pPr>
              <w:keepNext/>
              <w:spacing w:after="20" w:before="0" w:line="259" w:lineRule="auto"/>
            </w:pPr>
            <w:r>
              <w:rPr>
                <w:b w:val="0"/>
                <w:color w:val="000000"/>
                <w:sz w:val="18"/>
              </w:rPr>
              <w:t>무료 진행</w:t>
            </w:r>
          </w:p>
        </w:tc>
        <w:tc>
          <w:tcPr>
            <w:tcW w:type="dxa" w:w="7370"/>
            <w:vAlign w:val="center"/>
            <w:tcMar>
              <w:top w:w="85" w:type="dxa"/>
              <w:bottom w:w="85" w:type="dxa"/>
              <w:left w:w="90" w:type="dxa"/>
              <w:right w:w="90" w:type="dxa"/>
            </w:tcMar>
            <w:tcBorders>
              <w:top w:val="single" w:sz="4" w:color="D9D9D9"/>
              <w:bottom w:val="single" w:sz="4" w:color="D9D9D9"/>
              <w:left w:val="single" w:sz="4" w:color="D9D9D9"/>
              <w:right w:val="single" w:sz="4" w:color="D9D9D9"/>
            </w:tcBorders>
            <w:shd w:fill="FFFFFF"/>
          </w:tcPr>
          <w:p>
            <w:pPr>
              <w:keepNext/>
              <w:spacing w:after="20" w:before="0" w:line="259" w:lineRule="auto"/>
            </w:pPr>
            <w:r>
              <w:rPr>
                <w:b w:val="0"/>
                <w:color w:val="000000"/>
                <w:sz w:val="18"/>
              </w:rPr>
              <w:t>구매·광고·유료 뽑기 없이 일일 완료</w:t>
            </w:r>
          </w:p>
        </w:tc>
      </w:tr>
      <w:tr>
        <w:trPr>
          <w:cantSplit/>
        </w:trPr>
        <w:tc>
          <w:tcPr>
            <w:tcW w:type="dxa" w:w="2381"/>
            <w:vAlign w:val="center"/>
            <w:tcMar>
              <w:top w:w="85" w:type="dxa"/>
              <w:bottom w:w="85" w:type="dxa"/>
              <w:left w:w="90" w:type="dxa"/>
              <w:right w:w="90" w:type="dxa"/>
            </w:tcMar>
            <w:tcBorders>
              <w:top w:val="single" w:sz="4" w:color="D9D9D9"/>
              <w:bottom w:val="single" w:sz="4" w:color="D9D9D9"/>
              <w:left w:val="single" w:sz="4" w:color="D9D9D9"/>
              <w:right w:val="single" w:sz="4" w:color="D9D9D9"/>
            </w:tcBorders>
            <w:shd w:fill="FFFFFF"/>
          </w:tcPr>
          <w:p>
            <w:pPr>
              <w:keepNext/>
              <w:spacing w:after="20" w:before="0" w:line="259" w:lineRule="auto"/>
            </w:pPr>
            <w:r>
              <w:rPr>
                <w:b w:val="0"/>
                <w:color w:val="000000"/>
                <w:sz w:val="18"/>
              </w:rPr>
              <w:t>기능 안정성</w:t>
            </w:r>
          </w:p>
        </w:tc>
        <w:tc>
          <w:tcPr>
            <w:tcW w:type="dxa" w:w="7370"/>
            <w:vAlign w:val="center"/>
            <w:tcMar>
              <w:top w:w="85" w:type="dxa"/>
              <w:bottom w:w="85" w:type="dxa"/>
              <w:left w:w="90" w:type="dxa"/>
              <w:right w:w="90" w:type="dxa"/>
            </w:tcMar>
            <w:tcBorders>
              <w:top w:val="single" w:sz="4" w:color="D9D9D9"/>
              <w:bottom w:val="single" w:sz="4" w:color="D9D9D9"/>
              <w:left w:val="single" w:sz="4" w:color="D9D9D9"/>
              <w:right w:val="single" w:sz="4" w:color="D9D9D9"/>
            </w:tcBorders>
            <w:shd w:fill="FFFFFF"/>
          </w:tcPr>
          <w:p>
            <w:pPr>
              <w:keepNext/>
              <w:spacing w:after="20" w:before="0" w:line="259" w:lineRule="auto"/>
            </w:pPr>
            <w:r>
              <w:rPr>
                <w:b w:val="0"/>
                <w:color w:val="000000"/>
                <w:sz w:val="18"/>
              </w:rPr>
              <w:t>실패 골드 유지, 보상 중복·손실과 진행 차단 제거</w:t>
            </w:r>
          </w:p>
        </w:tc>
      </w:tr>
      <w:tr>
        <w:trPr>
          <w:cantSplit/>
        </w:trPr>
        <w:tc>
          <w:tcPr>
            <w:tcW w:type="dxa" w:w="2381"/>
            <w:vAlign w:val="center"/>
            <w:tcMar>
              <w:top w:w="85" w:type="dxa"/>
              <w:bottom w:w="85" w:type="dxa"/>
              <w:left w:w="90" w:type="dxa"/>
              <w:right w:w="90" w:type="dxa"/>
            </w:tcMar>
            <w:tcBorders>
              <w:top w:val="single" w:sz="4" w:color="D9D9D9"/>
              <w:bottom w:val="single" w:sz="4" w:color="D9D9D9"/>
              <w:left w:val="single" w:sz="4" w:color="D9D9D9"/>
              <w:right w:val="single" w:sz="4" w:color="D9D9D9"/>
            </w:tcBorders>
            <w:shd w:fill="FFFFFF"/>
          </w:tcPr>
          <w:p>
            <w:pPr>
              <w:keepNext w:val="0"/>
              <w:spacing w:after="20" w:before="0" w:line="259" w:lineRule="auto"/>
            </w:pPr>
            <w:r>
              <w:rPr>
                <w:b w:val="0"/>
                <w:color w:val="000000"/>
                <w:sz w:val="18"/>
              </w:rPr>
              <w:t>사업 지표</w:t>
            </w:r>
          </w:p>
        </w:tc>
        <w:tc>
          <w:tcPr>
            <w:tcW w:type="dxa" w:w="7370"/>
            <w:vAlign w:val="center"/>
            <w:tcMar>
              <w:top w:w="85" w:type="dxa"/>
              <w:bottom w:w="85" w:type="dxa"/>
              <w:left w:w="90" w:type="dxa"/>
              <w:right w:w="90" w:type="dxa"/>
            </w:tcMar>
            <w:tcBorders>
              <w:top w:val="single" w:sz="4" w:color="D9D9D9"/>
              <w:bottom w:val="single" w:sz="4" w:color="D9D9D9"/>
              <w:left w:val="single" w:sz="4" w:color="D9D9D9"/>
              <w:right w:val="single" w:sz="4" w:color="D9D9D9"/>
            </w:tcBorders>
            <w:shd w:fill="FFFFFF"/>
          </w:tcPr>
          <w:p>
            <w:pPr>
              <w:keepNext w:val="0"/>
              <w:spacing w:after="20" w:before="0" w:line="259" w:lineRule="auto"/>
            </w:pPr>
            <w:r>
              <w:rPr>
                <w:b w:val="0"/>
                <w:color w:val="000000"/>
                <w:sz w:val="18"/>
              </w:rPr>
              <w:t>실제 D1·D7 복귀, 첫 구매, 상품별 구매율과 패스 재구매 관측</w:t>
            </w:r>
          </w:p>
        </w:tc>
      </w:tr>
    </w:tbl>
    <w:p>
      <w:pPr>
        <w:pStyle w:val="TableGap"/>
        <w:keepNext w:val="0"/>
        <w:spacing w:after="0" w:before="0" w:line="240" w:lineRule="auto"/>
      </w:pPr>
      <w:r>
        <w:rPr>
          <w:sz w:val="6"/>
        </w:rPr>
      </w:r>
    </w:p>
    <w:p>
      <w:r>
        <w:rPr>
          <w:b w:val="0"/>
        </w:rPr>
        <w:t>복귀율은 설치일 기준 집단에서 해당 날짜에 다시 접속한 비율로 계산한다. 테스트 규모와 관측 기간을 함께 기록한다.</w:t>
      </w:r>
    </w:p>
    <w:p>
      <w:pPr>
        <w:pStyle w:val="Heading2"/>
      </w:pPr>
      <w:r>
        <w:t>사업 위험과 대응</w:t>
      </w:r>
    </w:p>
    <w:p>
      <w:r>
        <w:rPr>
          <w:b w:val="0"/>
        </w:rPr>
        <w:t>진도 부족은 새 적·보스 추가로, 성장 편차는 재화 수급·소모 조정으로 대응한다. 자동 전투의 선택감은 직업별 역할이 드러나는 적 구성으로 검증한다.</w:t>
      </w:r>
    </w:p>
    <w:p>
      <w:pPr>
        <w:pStyle w:val="Heading1"/>
      </w:pPr>
      <w:r>
        <w:t>2026년 9월 운영 개정</w:t>
      </w:r>
    </w:p>
    <w:p>
      <w:r>
        <w:t>초반 세 지역 이후에도 장 번호와 난도가 증가하는 순환 진행, 장비 분해·강화석 성장·자동 분해, 육성 메뉴의 루비 영구 성장 탭을 반영한다. 전직별 피격과 보스 접근을 정비하고 구매 에셋과 Comfy 공정을 조합해 마탑 시각 품질을 개선한다. 출시·매출 성과를 의미하는 변경은 아니다.</w:t>
      </w:r>
    </w:p>
    <w:p>
      <w:r>
        <w:t>환생은 골드와 일시 골드 강화를 초기화하는 전통적 구조를 준비한다. 영구 보상의 구체적 유형과 경제 곡선은 사용자 문답으로 확정하며 실제 계정 초기화를 미리 적용하지 않는다.</w:t>
      </w:r>
    </w:p>
    <w:sectPr w:rsidR="00FC693F" w:rsidRPr="0006063C" w:rsidSect="00034616">
      <w:footerReference w:type="default" r:id="rId9"/>
      <w:pgSz w:w="11906" w:h="16838"/>
      <w:pgMar w:top="964" w:right="1077" w:bottom="907" w:left="1077"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20"/>
    </w:pPr>
    <w:rPr>
      <w:rFonts w:ascii="맑은 고딕" w:hAnsi="맑은 고딕" w:eastAsia="맑은 고딕"/>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280" w:after="140"/>
      <w:outlineLvl w:val="0"/>
    </w:pPr>
    <w:rPr>
      <w:rFonts w:asciiTheme="majorHAnsi" w:eastAsiaTheme="majorEastAsia" w:hAnsiTheme="majorHAnsi" w:cstheme="majorBidi" w:ascii="맑은 고딕" w:hAnsi="맑은 고딕" w:eastAsia="맑은 고딕"/>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맑은 고딕" w:hAnsi="맑은 고딕" w:eastAsia="맑은 고딕"/>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맑은 고딕" w:hAnsi="맑은 고딕" w:eastAsia="맑은 고딕"/>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맑은 고딕" w:hAnsi="맑은 고딕" w:eastAsia="맑은 고딕"/>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맑은 고딕" w:hAnsi="맑은 고딕" w:eastAsia="맑은 고딕"/>
      <w:b w:val="0"/>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69" w:lineRule="auto" w:after="140"/>
    </w:pPr>
    <w:rPr>
      <w:rFonts w:ascii="맑은 고딕" w:hAnsi="맑은 고딕" w:eastAsia="맑은 고딕"/>
      <w:b w:val="0"/>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pPr>
      <w:spacing w:after="120"/>
    </w:pPr>
    <w:rPr>
      <w:rFonts w:ascii="맑은 고딕" w:hAnsi="맑은 고딕" w:eastAsia="맑은 고딕"/>
      <w:b w:val="0"/>
      <w:color w:val="000000"/>
      <w:sz w:val="21"/>
    </w:rPr>
  </w:style>
  <w:style w:type="paragraph" w:customStyle="1" w:styleId="TOC2">
    <w:name w:val="TOC 2"/>
    <w:pPr>
      <w:spacing w:after="120"/>
    </w:pPr>
    <w:rPr>
      <w:rFonts w:ascii="맑은 고딕" w:hAnsi="맑은 고딕" w:eastAsia="맑은 고딕"/>
      <w:b w:val="0"/>
      <w:color w:val="000000"/>
      <w:sz w:val="21"/>
    </w:rPr>
  </w:style>
  <w:style w:type="paragraph" w:customStyle="1" w:styleId="TableGap">
    <w:name w:val="TableGap"/>
    <w:pPr>
      <w:spacing w:before="0" w:after="0" w:line="240" w:lineRule="auto"/>
    </w:pPr>
    <w:rPr>
      <w:rFonts w:ascii="맑은 고딕" w:hAnsi="맑은 고딕" w:eastAsia="맑은 고딕"/>
      <w:b w:val="0"/>
      <w:color w:val="000000"/>
      <w:sz w:val="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왕국군 키우기 사업소개서</dc:title>
  <dc:subject>모바일 방치 RPG</dc:subject>
  <dc:creator/>
  <cp:keywords/>
  <dc:description/>
  <cp:lastModifiedBy/>
  <cp:revision>1</cp:revision>
  <dcterms:created xsi:type="dcterms:W3CDTF">2013-12-23T23:15:00Z</dcterms:created>
  <dcterms:modified xsi:type="dcterms:W3CDTF">2013-12-23T23:15:00Z</dcterms:modified>
  <cp:category/>
</cp:coreProperties>
</file>