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</w:rPr>
        <w:t>Response to Reviewers Template</w:t>
      </w:r>
    </w:p>
    <w:p>
      <w:r>
        <w:rPr>
          <w:rFonts w:ascii="Times New Roman" w:hAnsi="Times New Roman"/>
        </w:rPr>
        <w:t>Manuscript: "Public HBV genotype B/C core diversity reveals an</w:t>
      </w:r>
    </w:p>
    <w:p>
      <w:r>
        <w:rPr>
          <w:rFonts w:ascii="Times New Roman" w:hAnsi="Times New Roman"/>
        </w:rPr>
        <w:t>HLA-DQB1*03:01-associated class-II presentation gap"</w:t>
      </w:r>
    </w:p>
    <w:p>
      <w:r>
        <w:rPr>
          <w:rFonts w:ascii="Times New Roman" w:hAnsi="Times New Roman"/>
        </w:rPr>
        <w:t>Journal: Viruses</w:t>
      </w:r>
    </w:p>
    <w:p>
      <w:pPr>
        <w:pStyle w:val="Heading1"/>
      </w:pPr>
      <w:r>
        <w:t>Response Overview</w:t>
      </w:r>
    </w:p>
    <w:p>
      <w:r>
        <w:rPr>
          <w:rFonts w:ascii="Times New Roman" w:hAnsi="Times New Roman"/>
        </w:rPr>
        <w:t>I thank the editor and reviewers for their careful evaluation of the</w:t>
      </w:r>
    </w:p>
    <w:p>
      <w:r>
        <w:rPr>
          <w:rFonts w:ascii="Times New Roman" w:hAnsi="Times New Roman"/>
        </w:rPr>
        <w:t>manuscript. I have revised the manuscript to clarify the computational and</w:t>
      </w:r>
    </w:p>
    <w:p>
      <w:r>
        <w:rPr>
          <w:rFonts w:ascii="Times New Roman" w:hAnsi="Times New Roman"/>
        </w:rPr>
        <w:t>hypothesis-generating nature of the study, strengthen the public-data</w:t>
      </w:r>
    </w:p>
    <w:p>
      <w:r>
        <w:rPr>
          <w:rFonts w:ascii="Times New Roman" w:hAnsi="Times New Roman"/>
        </w:rPr>
        <w:t>reproducibility description, and make the limitations more explicit. I agree</w:t>
      </w:r>
    </w:p>
    <w:p>
      <w:r>
        <w:rPr>
          <w:rFonts w:ascii="Times New Roman" w:hAnsi="Times New Roman"/>
        </w:rPr>
        <w:t>that the analysis predicts peptide-HLA binding and does not directly measure</w:t>
      </w:r>
    </w:p>
    <w:p>
      <w:r>
        <w:rPr>
          <w:rFonts w:ascii="Times New Roman" w:hAnsi="Times New Roman"/>
        </w:rPr>
        <w:t>antigen processing, HLA-DQ surface presentation, CD4 T-cell recognition, or</w:t>
      </w:r>
    </w:p>
    <w:p>
      <w:r>
        <w:rPr>
          <w:rFonts w:ascii="Times New Roman" w:hAnsi="Times New Roman"/>
        </w:rPr>
        <w:t>HBV-HCC causality.</w:t>
      </w:r>
    </w:p>
    <w:p>
      <w:pPr>
        <w:pStyle w:val="Heading1"/>
      </w:pPr>
      <w:r>
        <w:t>Reviewer Comment 1: Prediction-Based Study without Experimental Validation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I agree that experimental validation is required to establish</w:t>
      </w:r>
    </w:p>
    <w:p>
      <w:r>
        <w:rPr>
          <w:rFonts w:ascii="Times New Roman" w:hAnsi="Times New Roman"/>
        </w:rPr>
        <w:t>biochemical binding, cellular antigen presentation, and CD4 T-cell recognition.</w:t>
      </w:r>
    </w:p>
    <w:p>
      <w:r>
        <w:rPr>
          <w:rFonts w:ascii="Times New Roman" w:hAnsi="Times New Roman"/>
        </w:rPr>
        <w:t>The study has been framed as a public-data computational analysis and</w:t>
      </w:r>
    </w:p>
    <w:p>
      <w:r>
        <w:rPr>
          <w:rFonts w:ascii="Times New Roman" w:hAnsi="Times New Roman"/>
        </w:rPr>
        <w:t>hypothesis-generating prioritization study. I have revised the Abstract,</w:t>
      </w:r>
    </w:p>
    <w:p>
      <w:r>
        <w:rPr>
          <w:rFonts w:ascii="Times New Roman" w:hAnsi="Times New Roman"/>
        </w:rPr>
        <w:t>Discussion, and Conclusions to avoid causal or experimental language and to</w:t>
      </w:r>
    </w:p>
    <w:p>
      <w:r>
        <w:rPr>
          <w:rFonts w:ascii="Times New Roman" w:hAnsi="Times New Roman"/>
        </w:rPr>
        <w:t>state that the strongest core N-terminal windows should be considered</w:t>
      </w:r>
    </w:p>
    <w:p>
      <w:r>
        <w:rPr>
          <w:rFonts w:ascii="Times New Roman" w:hAnsi="Times New Roman"/>
        </w:rPr>
        <w:t>candidates for future validation.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p>
      <w:pPr>
        <w:pStyle w:val="Heading1"/>
      </w:pPr>
      <w:r>
        <w:t>Reviewer Comment 2: GenBank Redundancy and Sampling Bias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I agree that GenBank records are not a random population sample</w:t>
      </w:r>
    </w:p>
    <w:p>
      <w:r>
        <w:rPr>
          <w:rFonts w:ascii="Times New Roman" w:hAnsi="Times New Roman"/>
        </w:rPr>
        <w:t>and can be redundant or geographically uneven. For this reason, the analysis</w:t>
      </w:r>
    </w:p>
    <w:p>
      <w:r>
        <w:rPr>
          <w:rFonts w:ascii="Times New Roman" w:hAnsi="Times New Roman"/>
        </w:rPr>
        <w:t>included exact core de-duplication, greedy 99% and 95% identity</w:t>
      </w:r>
    </w:p>
    <w:p>
      <w:r>
        <w:rPr>
          <w:rFonts w:ascii="Times New Roman" w:hAnsi="Times New Roman"/>
        </w:rPr>
        <w:t>de-redundancy, record-level bootstrap, genotype/region/year stratification, and</w:t>
      </w:r>
    </w:p>
    <w:p>
      <w:r>
        <w:rPr>
          <w:rFonts w:ascii="Times New Roman" w:hAnsi="Times New Roman"/>
        </w:rPr>
        <w:t>leave-one-stratum-out checks. The DQB1*03:01-associated gap was preserved in</w:t>
      </w:r>
    </w:p>
    <w:p>
      <w:r>
        <w:rPr>
          <w:rFonts w:ascii="Times New Roman" w:hAnsi="Times New Roman"/>
        </w:rPr>
        <w:t>these analyses, indicating that the main result is not explained by simple</w:t>
      </w:r>
    </w:p>
    <w:p>
      <w:r>
        <w:rPr>
          <w:rFonts w:ascii="Times New Roman" w:hAnsi="Times New Roman"/>
        </w:rPr>
        <w:t>public-database redundancy.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p>
      <w:pPr>
        <w:pStyle w:val="Heading1"/>
      </w:pPr>
      <w:r>
        <w:t>Reviewer Comment 3: Lack of Host-Virus Pairing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I agree. The GenBank viral records are not paired with host HLA</w:t>
      </w:r>
    </w:p>
    <w:p>
      <w:r>
        <w:rPr>
          <w:rFonts w:ascii="Times New Roman" w:hAnsi="Times New Roman"/>
        </w:rPr>
        <w:t>genotypes, and the manuscript does not infer within-host HLA-driven selection.</w:t>
      </w:r>
    </w:p>
    <w:p>
      <w:r>
        <w:rPr>
          <w:rFonts w:ascii="Times New Roman" w:hAnsi="Times New Roman"/>
        </w:rPr>
        <w:t>The analysis asks a different question: whether naturally observed public HBV</w:t>
      </w:r>
    </w:p>
    <w:p>
      <w:r>
        <w:rPr>
          <w:rFonts w:ascii="Times New Roman" w:hAnsi="Times New Roman"/>
        </w:rPr>
        <w:t>genotype B/C core sequences remain poorly covered by DQB1*03:01-containing</w:t>
      </w:r>
    </w:p>
    <w:p>
      <w:r>
        <w:rPr>
          <w:rFonts w:ascii="Times New Roman" w:hAnsi="Times New Roman"/>
        </w:rPr>
        <w:t>HLA-DQ heterodimers compared with non-risk comparators. I have clarified this</w:t>
      </w:r>
    </w:p>
    <w:p>
      <w:r>
        <w:rPr>
          <w:rFonts w:ascii="Times New Roman" w:hAnsi="Times New Roman"/>
        </w:rPr>
        <w:t>distinction in the Discussion.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p>
      <w:pPr>
        <w:pStyle w:val="Heading1"/>
      </w:pPr>
      <w:r>
        <w:t>Reviewer Comment 4: IEDB Coverage Is Incomplete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I agree that IEDB does not provide a complete map of possible</w:t>
      </w:r>
    </w:p>
    <w:p>
      <w:r>
        <w:rPr>
          <w:rFonts w:ascii="Times New Roman" w:hAnsi="Times New Roman"/>
        </w:rPr>
        <w:t>HBV core CD4 T-cell epitopes. I use IEDB overlap only as an external annotation</w:t>
      </w:r>
    </w:p>
    <w:p>
      <w:r>
        <w:rPr>
          <w:rFonts w:ascii="Times New Roman" w:hAnsi="Times New Roman"/>
        </w:rPr>
        <w:t>of previously assayed human HBV T-cell regions, not as a comprehensive truth</w:t>
      </w:r>
    </w:p>
    <w:p>
      <w:r>
        <w:rPr>
          <w:rFonts w:ascii="Times New Roman" w:hAnsi="Times New Roman"/>
        </w:rPr>
        <w:t>set. The primary conclusion is based on predicted binding across public</w:t>
      </w:r>
    </w:p>
    <w:p>
      <w:r>
        <w:rPr>
          <w:rFonts w:ascii="Times New Roman" w:hAnsi="Times New Roman"/>
        </w:rPr>
        <w:t>genotype B/C core diversity and robustness analyses, with IEDB overlap serving</w:t>
      </w:r>
    </w:p>
    <w:p>
      <w:r>
        <w:rPr>
          <w:rFonts w:ascii="Times New Roman" w:hAnsi="Times New Roman"/>
        </w:rPr>
        <w:t>as a supportive check.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p>
      <w:pPr>
        <w:pStyle w:val="Heading1"/>
      </w:pPr>
      <w:r>
        <w:t>Reviewer Comment 5: Method Dependence of MHC-II Prediction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I agree that MHC-II prediction depends on method and threshold.</w:t>
      </w:r>
    </w:p>
    <w:p>
      <w:r>
        <w:rPr>
          <w:rFonts w:ascii="Times New Roman" w:hAnsi="Times New Roman"/>
        </w:rPr>
        <w:t>The revised manuscript emphasizes that absolute binder rates differ between</w:t>
      </w:r>
    </w:p>
    <w:p>
      <w:r>
        <w:rPr>
          <w:rFonts w:ascii="Times New Roman" w:hAnsi="Times New Roman"/>
        </w:rPr>
        <w:t>NetMHCIIpan BA and the IEDB recommended method. However, the occurrence-weighted</w:t>
      </w:r>
    </w:p>
    <w:p>
      <w:r>
        <w:rPr>
          <w:rFonts w:ascii="Times New Roman" w:hAnsi="Times New Roman"/>
        </w:rPr>
        <w:t>direction of the primary DQB1*03:02 versus DQB1*03:01 comparison was preserved.</w:t>
      </w:r>
    </w:p>
    <w:p>
      <w:r>
        <w:rPr>
          <w:rFonts w:ascii="Times New Roman" w:hAnsi="Times New Roman"/>
        </w:rPr>
        <w:t>I therefore present the conclusion as a robust directional presentation gap</w:t>
      </w:r>
    </w:p>
    <w:p>
      <w:r>
        <w:rPr>
          <w:rFonts w:ascii="Times New Roman" w:hAnsi="Times New Roman"/>
        </w:rPr>
        <w:t>rather than as a claim tied to one absolute threshold.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p>
      <w:pPr>
        <w:pStyle w:val="Heading1"/>
      </w:pPr>
      <w:r>
        <w:t>Reviewer Comment 6: Novelty Relative to Prior DQB1*03:01-HBV-HCC Work</w:t>
      </w:r>
    </w:p>
    <w:p>
      <w:r>
        <w:rPr>
          <w:rFonts w:ascii="Times New Roman" w:hAnsi="Times New Roman"/>
          <w:b/>
        </w:rPr>
        <w:t>Reviewer comment:</w:t>
      </w:r>
      <w:r>
        <w:rPr>
          <w:rFonts w:ascii="Times New Roman" w:hAnsi="Times New Roman"/>
        </w:rPr>
        <w:t xml:space="preserve"> [Paste comment here.]</w:t>
      </w:r>
    </w:p>
    <w:p>
      <w:r>
        <w:rPr>
          <w:rFonts w:ascii="Times New Roman" w:hAnsi="Times New Roman"/>
          <w:b/>
        </w:rPr>
        <w:t>Response:</w:t>
      </w:r>
      <w:r>
        <w:rPr>
          <w:rFonts w:ascii="Times New Roman" w:hAnsi="Times New Roman"/>
        </w:rPr>
        <w:t xml:space="preserve"> The prior study established the host-genetic association and</w:t>
      </w:r>
    </w:p>
    <w:p>
      <w:r>
        <w:rPr>
          <w:rFonts w:ascii="Times New Roman" w:hAnsi="Times New Roman"/>
        </w:rPr>
        <w:t>provided a reference-sequence binding clue. The contribution is to test whether</w:t>
      </w:r>
    </w:p>
    <w:p>
      <w:r>
        <w:rPr>
          <w:rFonts w:ascii="Times New Roman" w:hAnsi="Times New Roman"/>
        </w:rPr>
        <w:t>that clue remains visible across public HBV genotype B/C core diversity and to</w:t>
      </w:r>
    </w:p>
    <w:p>
      <w:r>
        <w:rPr>
          <w:rFonts w:ascii="Times New Roman" w:hAnsi="Times New Roman"/>
        </w:rPr>
        <w:t>add expanded HLA-DQ comparison, de-redundancy, bootstrap, stratification,</w:t>
      </w:r>
    </w:p>
    <w:p>
      <w:r>
        <w:rPr>
          <w:rFonts w:ascii="Times New Roman" w:hAnsi="Times New Roman"/>
        </w:rPr>
        <w:t>position-level core gap mapping, IEDB epitope overlap, reference-proteome</w:t>
      </w:r>
    </w:p>
    <w:p>
      <w:r>
        <w:rPr>
          <w:rFonts w:ascii="Times New Roman" w:hAnsi="Times New Roman"/>
        </w:rPr>
        <w:t>controls, and a public reproducible workflow.</w:t>
      </w:r>
    </w:p>
    <w:p>
      <w:r>
        <w:rPr>
          <w:rFonts w:ascii="Times New Roman" w:hAnsi="Times New Roman"/>
          <w:b/>
        </w:rPr>
        <w:t>Manuscript changes:</w:t>
      </w:r>
      <w:r>
        <w:rPr>
          <w:rFonts w:ascii="Times New Roman" w:hAnsi="Times New Roman"/>
        </w:rPr>
        <w:t xml:space="preserve"> [Add line/section references after revision.]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