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Cover Letter</w:t>
      </w:r>
    </w:p>
    <w:p>
      <w:r>
        <w:rPr>
          <w:rFonts w:ascii="Times New Roman" w:hAnsi="Times New Roman"/>
        </w:rPr>
        <w:t>Dear Editor,</w:t>
      </w:r>
    </w:p>
    <w:p>
      <w:r>
        <w:rPr>
          <w:rFonts w:ascii="Times New Roman" w:hAnsi="Times New Roman"/>
        </w:rPr>
        <w:t>We are pleased to submit our manuscript entitled "Public HBV genotype B/C core</w:t>
      </w:r>
    </w:p>
    <w:p>
      <w:r>
        <w:rPr>
          <w:rFonts w:ascii="Times New Roman" w:hAnsi="Times New Roman"/>
        </w:rPr>
        <w:t>diversity reveals an HLA-DQB1*03:01-associated class-II presentation gap" for</w:t>
      </w:r>
    </w:p>
    <w:p>
      <w:r>
        <w:rPr>
          <w:rFonts w:ascii="Times New Roman" w:hAnsi="Times New Roman"/>
        </w:rPr>
        <w:t>consideration.</w:t>
      </w:r>
    </w:p>
    <w:p>
      <w:r>
        <w:rPr>
          <w:rFonts w:ascii="Times New Roman" w:hAnsi="Times New Roman"/>
        </w:rPr>
        <w:t>HLA-DQB1*03:01 has recently been associated with increased risk of</w:t>
      </w:r>
    </w:p>
    <w:p>
      <w:r>
        <w:rPr>
          <w:rFonts w:ascii="Times New Roman" w:hAnsi="Times New Roman"/>
        </w:rPr>
        <w:t>HBV-related hepatocellular carcinoma, and prior work suggested reduced predicted</w:t>
      </w:r>
    </w:p>
    <w:p>
      <w:r>
        <w:rPr>
          <w:rFonts w:ascii="Times New Roman" w:hAnsi="Times New Roman"/>
        </w:rPr>
        <w:t>binding of HBV nucleocapsid peptides by DQB1*03:01-containing HLA-DQ molecules.</w:t>
      </w:r>
    </w:p>
    <w:p>
      <w:r>
        <w:rPr>
          <w:rFonts w:ascii="Times New Roman" w:hAnsi="Times New Roman"/>
        </w:rPr>
        <w:t>However, it has remained unclear whether this finding reflects a reference-</w:t>
      </w:r>
    </w:p>
    <w:p>
      <w:r>
        <w:rPr>
          <w:rFonts w:ascii="Times New Roman" w:hAnsi="Times New Roman"/>
        </w:rPr>
        <w:t>sequence observation or a presentation gap that persists across naturally</w:t>
      </w:r>
    </w:p>
    <w:p>
      <w:r>
        <w:rPr>
          <w:rFonts w:ascii="Times New Roman" w:hAnsi="Times New Roman"/>
        </w:rPr>
        <w:t>occurring HBV genotype B/C sequence diversity.</w:t>
      </w:r>
    </w:p>
    <w:p>
      <w:r>
        <w:rPr>
          <w:rFonts w:ascii="Times New Roman" w:hAnsi="Times New Roman"/>
        </w:rPr>
        <w:t>In this public-data computational study, we analyzed 1576 quality-controlled</w:t>
      </w:r>
    </w:p>
    <w:p>
      <w:r>
        <w:rPr>
          <w:rFonts w:ascii="Times New Roman" w:hAnsi="Times New Roman"/>
        </w:rPr>
        <w:t>GenBank HBV genotype B/C complete-genome records, generated 11176 unique HBV</w:t>
      </w:r>
    </w:p>
    <w:p>
      <w:r>
        <w:rPr>
          <w:rFonts w:ascii="Times New Roman" w:hAnsi="Times New Roman"/>
        </w:rPr>
        <w:t>core 15-mer peptide windows, and performed HLA-DQ heterodimer MHC-II binding</w:t>
      </w:r>
    </w:p>
    <w:p>
      <w:r>
        <w:rPr>
          <w:rFonts w:ascii="Times New Roman" w:hAnsi="Times New Roman"/>
        </w:rPr>
        <w:t>prediction using the IEDB NetMHCIIpan workflow. We found that two</w:t>
      </w:r>
    </w:p>
    <w:p>
      <w:r>
        <w:rPr>
          <w:rFonts w:ascii="Times New Roman" w:hAnsi="Times New Roman"/>
        </w:rPr>
        <w:t>DQB1*03:01-containing heterodimers were marked low-binding outliers in an</w:t>
      </w:r>
    </w:p>
    <w:p>
      <w:r>
        <w:rPr>
          <w:rFonts w:ascii="Times New Roman" w:hAnsi="Times New Roman"/>
        </w:rPr>
        <w:t>expanded seven-heterodimer HLA-DQ panel, with occurrence-weighted core binder</w:t>
      </w:r>
    </w:p>
    <w:p>
      <w:r>
        <w:rPr>
          <w:rFonts w:ascii="Times New Roman" w:hAnsi="Times New Roman"/>
        </w:rPr>
        <w:t>rates of 0.23%-0.80% compared with 7.66%-13.52% for non-risk comparison</w:t>
      </w:r>
    </w:p>
    <w:p>
      <w:r>
        <w:rPr>
          <w:rFonts w:ascii="Times New Roman" w:hAnsi="Times New Roman"/>
        </w:rPr>
        <w:t>heterodimers. This gap persisted after exact and identity-based sequence</w:t>
      </w:r>
    </w:p>
    <w:p>
      <w:r>
        <w:rPr>
          <w:rFonts w:ascii="Times New Roman" w:hAnsi="Times New Roman"/>
        </w:rPr>
        <w:t>de-redundancy, record-level bootstrap analysis, genotype/region/year</w:t>
      </w:r>
    </w:p>
    <w:p>
      <w:r>
        <w:rPr>
          <w:rFonts w:ascii="Times New Roman" w:hAnsi="Times New Roman"/>
        </w:rPr>
        <w:t>stratification, and IEDB recommended-method sensitivity testing.</w:t>
      </w:r>
    </w:p>
    <w:p>
      <w:r>
        <w:rPr>
          <w:rFonts w:ascii="Times New Roman" w:hAnsi="Times New Roman"/>
        </w:rPr>
        <w:t>We also integrated IEDB human HBV T-cell epitope records and a reference HBV</w:t>
      </w:r>
    </w:p>
    <w:p>
      <w:r>
        <w:rPr>
          <w:rFonts w:ascii="Times New Roman" w:hAnsi="Times New Roman"/>
        </w:rPr>
        <w:t>proteome control analysis. Predicted NetMHCIIpan binders from the</w:t>
      </w:r>
    </w:p>
    <w:p>
      <w:r>
        <w:rPr>
          <w:rFonts w:ascii="Times New Roman" w:hAnsi="Times New Roman"/>
        </w:rPr>
        <w:t>DQB1*03:01-containing risk pairs did not overlap known human core/nucleocapsid</w:t>
      </w:r>
    </w:p>
    <w:p>
      <w:r>
        <w:rPr>
          <w:rFonts w:ascii="Times New Roman" w:hAnsi="Times New Roman"/>
        </w:rPr>
        <w:t>MHC-II epitopes, while the DQB1*03:02 comparator and other non-risk comparison</w:t>
      </w:r>
    </w:p>
    <w:p>
      <w:r>
        <w:rPr>
          <w:rFonts w:ascii="Times New Roman" w:hAnsi="Times New Roman"/>
        </w:rPr>
        <w:t>heterodimers did. Core-position analysis further localized the strongest gap to</w:t>
      </w:r>
    </w:p>
    <w:p>
      <w:r>
        <w:rPr>
          <w:rFonts w:ascii="Times New Roman" w:hAnsi="Times New Roman"/>
        </w:rPr>
        <w:t>HBV core N-terminal windows, generating a focused candidate map for future</w:t>
      </w:r>
    </w:p>
    <w:p>
      <w:r>
        <w:rPr>
          <w:rFonts w:ascii="Times New Roman" w:hAnsi="Times New Roman"/>
        </w:rPr>
        <w:t>experimental testing.</w:t>
      </w:r>
    </w:p>
    <w:p>
      <w:r>
        <w:rPr>
          <w:rFonts w:ascii="Times New Roman" w:hAnsi="Times New Roman"/>
        </w:rPr>
        <w:t>The manuscript is positioned as a hypothesis-generating public-data</w:t>
      </w:r>
    </w:p>
    <w:p>
      <w:r>
        <w:rPr>
          <w:rFonts w:ascii="Times New Roman" w:hAnsi="Times New Roman"/>
        </w:rPr>
        <w:t>immunogenomics study. We do not claim experimental proof of antigen processing,</w:t>
      </w:r>
    </w:p>
    <w:p>
      <w:r>
        <w:rPr>
          <w:rFonts w:ascii="Times New Roman" w:hAnsi="Times New Roman"/>
        </w:rPr>
        <w:t>surface presentation, CD4 T-cell recognition, or HBV-HCC causality. Instead,</w:t>
      </w:r>
    </w:p>
    <w:p>
      <w:r>
        <w:rPr>
          <w:rFonts w:ascii="Times New Roman" w:hAnsi="Times New Roman"/>
        </w:rPr>
        <w:t>the study provides a reproducible computational extension of the</w:t>
      </w:r>
    </w:p>
    <w:p>
      <w:r>
        <w:rPr>
          <w:rFonts w:ascii="Times New Roman" w:hAnsi="Times New Roman"/>
        </w:rPr>
        <w:t>DQB1*03:01-HBV-HCC nucleocapsid axis into public viral sequence diversity and</w:t>
      </w:r>
    </w:p>
    <w:p>
      <w:r>
        <w:rPr>
          <w:rFonts w:ascii="Times New Roman" w:hAnsi="Times New Roman"/>
        </w:rPr>
        <w:t>nominates HBV core antigen presentation as a focused target for future</w:t>
      </w:r>
    </w:p>
    <w:p>
      <w:r>
        <w:rPr>
          <w:rFonts w:ascii="Times New Roman" w:hAnsi="Times New Roman"/>
        </w:rPr>
        <w:t>validation.</w:t>
      </w:r>
    </w:p>
    <w:p>
      <w:r>
        <w:rPr>
          <w:rFonts w:ascii="Times New Roman" w:hAnsi="Times New Roman"/>
        </w:rPr>
        <w:t>All data used in this study are public, and the analysis scripts, processed</w:t>
      </w:r>
    </w:p>
    <w:p>
      <w:r>
        <w:rPr>
          <w:rFonts w:ascii="Times New Roman" w:hAnsi="Times New Roman"/>
        </w:rPr>
        <w:t>tables, and figure files are prepared for repository deposition.</w:t>
      </w:r>
    </w:p>
    <w:p>
      <w:r>
        <w:rPr>
          <w:rFonts w:ascii="Times New Roman" w:hAnsi="Times New Roman"/>
        </w:rPr>
        <w:t>Thank you for considering our work.</w:t>
      </w:r>
    </w:p>
    <w:p>
      <w:r>
        <w:rPr>
          <w:rFonts w:ascii="Times New Roman" w:hAnsi="Times New Roman"/>
        </w:rPr>
        <w:t>Sincerely,</w:t>
      </w:r>
    </w:p>
    <w:p>
      <w:r>
        <w:rPr>
          <w:rFonts w:ascii="Times New Roman" w:hAnsi="Times New Roman"/>
        </w:rPr>
        <w:t>[Author name]</w:t>
      </w:r>
    </w:p>
    <w:sectPr w:rsidR="00FC693F" w:rsidRPr="0006063C" w:rsidSect="00034616">
      <w:pgSz w:w="12240" w:h="15840"/>
      <w:pgMar w:top="936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