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</w:rPr>
        <w:t>Figure Legends</w:t>
      </w:r>
    </w:p>
    <w:p>
      <w:pPr>
        <w:pStyle w:val="Heading1"/>
      </w:pPr>
      <w:r>
        <w:t>Figure 1. Public HBV core binder rates across an expanded HLA-DQ panel</w:t>
      </w:r>
    </w:p>
    <w:p>
      <w:r>
        <w:rPr>
          <w:rFonts w:ascii="Times New Roman" w:hAnsi="Times New Roman"/>
        </w:rPr>
        <w:t>Unique-peptide and occurrence-weighted predicted binder rates for 11176 public</w:t>
      </w:r>
    </w:p>
    <w:p>
      <w:r>
        <w:rPr>
          <w:rFonts w:ascii="Times New Roman" w:hAnsi="Times New Roman"/>
        </w:rPr>
        <w:t>HBV genotype B/C core 15-mer windows across seven HLA-DQ heterodimers. Predicted</w:t>
      </w:r>
    </w:p>
    <w:p>
      <w:r>
        <w:rPr>
          <w:rFonts w:ascii="Times New Roman" w:hAnsi="Times New Roman"/>
        </w:rPr>
        <w:t>binders were defined as IEDB NetMHCIIpan percentile rank &lt;10. DQB1*03:01-</w:t>
      </w:r>
    </w:p>
    <w:p>
      <w:r>
        <w:rPr>
          <w:rFonts w:ascii="Times New Roman" w:hAnsi="Times New Roman"/>
        </w:rPr>
        <w:t>containing heterodimers were consistent low-binding outliers relative to the</w:t>
      </w:r>
    </w:p>
    <w:p>
      <w:r>
        <w:rPr>
          <w:rFonts w:ascii="Times New Roman" w:hAnsi="Times New Roman"/>
        </w:rPr>
        <w:t>DQB1*03:02 comparator and other non-risk HLA-DQ comparison molecules.</w:t>
      </w:r>
    </w:p>
    <w:p>
      <w:r>
        <w:rPr>
          <w:rFonts w:ascii="Times New Roman" w:hAnsi="Times New Roman"/>
        </w:rPr>
        <w:t xml:space="preserve">File: </w:t>
      </w:r>
      <w:r>
        <w:rPr>
          <w:rFonts w:ascii="Courier New" w:hAnsi="Courier New"/>
          <w:sz w:val="18"/>
        </w:rPr>
        <w:t>results/figures/figure_1_full_expanded_dq_binder_rates.png</w:t>
      </w:r>
    </w:p>
    <w:p>
      <w:pPr>
        <w:pStyle w:val="Heading1"/>
      </w:pPr>
      <w:r>
        <w:t>Figure 2. Method sensitivity for the primary HLA-DQ comparison</w:t>
      </w:r>
    </w:p>
    <w:p>
      <w:r>
        <w:rPr>
          <w:rFonts w:ascii="Times New Roman" w:hAnsi="Times New Roman"/>
        </w:rPr>
        <w:t>Occurrence-weighted predicted binder rates for the DQB1*03:02 comparator and</w:t>
      </w:r>
    </w:p>
    <w:p>
      <w:r>
        <w:rPr>
          <w:rFonts w:ascii="Times New Roman" w:hAnsi="Times New Roman"/>
        </w:rPr>
        <w:t>two DQB1*03:01-containing risk heterodimers using NetMHCIIpan BA and the IEDB</w:t>
      </w:r>
    </w:p>
    <w:p>
      <w:r>
        <w:rPr>
          <w:rFonts w:ascii="Times New Roman" w:hAnsi="Times New Roman"/>
        </w:rPr>
        <w:t>recommended method. The recommended method produced lower absolute binder</w:t>
      </w:r>
    </w:p>
    <w:p>
      <w:r>
        <w:rPr>
          <w:rFonts w:ascii="Times New Roman" w:hAnsi="Times New Roman"/>
        </w:rPr>
        <w:t>rates, but the DQB1*03:02 comparator remained higher than both DQB1*03:01-</w:t>
      </w:r>
    </w:p>
    <w:p>
      <w:r>
        <w:rPr>
          <w:rFonts w:ascii="Times New Roman" w:hAnsi="Times New Roman"/>
        </w:rPr>
        <w:t>containing pairs.</w:t>
      </w:r>
    </w:p>
    <w:p>
      <w:r>
        <w:rPr>
          <w:rFonts w:ascii="Times New Roman" w:hAnsi="Times New Roman"/>
        </w:rPr>
        <w:t xml:space="preserve">File: </w:t>
      </w:r>
      <w:r>
        <w:rPr>
          <w:rFonts w:ascii="Courier New" w:hAnsi="Courier New"/>
          <w:sz w:val="18"/>
        </w:rPr>
        <w:t>results/figures/figure_2_method_sensitivity_primary_pairs.png</w:t>
      </w:r>
    </w:p>
    <w:p>
      <w:pPr>
        <w:pStyle w:val="Heading1"/>
      </w:pPr>
      <w:r>
        <w:t>Figure 3. De-redundancy and stratified sensitivity analyses</w:t>
      </w:r>
    </w:p>
    <w:p>
      <w:r>
        <w:rPr>
          <w:rFonts w:ascii="Times New Roman" w:hAnsi="Times New Roman"/>
        </w:rPr>
        <w:t>Panel A shows occurrence-weighted core binder rates for the primary DQB1*03:02</w:t>
      </w:r>
    </w:p>
    <w:p>
      <w:r>
        <w:rPr>
          <w:rFonts w:ascii="Times New Roman" w:hAnsi="Times New Roman"/>
        </w:rPr>
        <w:t>comparator and the two DQB1*03:01-containing heterodimers after no</w:t>
      </w:r>
    </w:p>
    <w:p>
      <w:r>
        <w:rPr>
          <w:rFonts w:ascii="Times New Roman" w:hAnsi="Times New Roman"/>
        </w:rPr>
        <w:t>de-redundancy, exact core protein de-duplication, greedy 99% identity</w:t>
      </w:r>
    </w:p>
    <w:p>
      <w:r>
        <w:rPr>
          <w:rFonts w:ascii="Times New Roman" w:hAnsi="Times New Roman"/>
        </w:rPr>
        <w:t>de-redundancy, and greedy 95% identity de-redundancy. Panel B shows</w:t>
      </w:r>
    </w:p>
    <w:p>
      <w:r>
        <w:rPr>
          <w:rFonts w:ascii="Times New Roman" w:hAnsi="Times New Roman"/>
        </w:rPr>
        <w:t>stratum-specific rate ratios comparing DQA1*03:01/DQB1*03:02 with each</w:t>
      </w:r>
    </w:p>
    <w:p>
      <w:r>
        <w:rPr>
          <w:rFonts w:ascii="Times New Roman" w:hAnsi="Times New Roman"/>
        </w:rPr>
        <w:t>DQB1*03:01-containing risk pair across genotype, region, and collection-year</w:t>
      </w:r>
    </w:p>
    <w:p>
      <w:r>
        <w:rPr>
          <w:rFonts w:ascii="Times New Roman" w:hAnsi="Times New Roman"/>
        </w:rPr>
        <w:t>strata. The presentation gap persisted across these sensitivity analyses.</w:t>
      </w:r>
    </w:p>
    <w:p>
      <w:r>
        <w:rPr>
          <w:rFonts w:ascii="Times New Roman" w:hAnsi="Times New Roman"/>
        </w:rPr>
        <w:t xml:space="preserve">File: </w:t>
      </w:r>
      <w:r>
        <w:rPr>
          <w:rFonts w:ascii="Courier New" w:hAnsi="Courier New"/>
          <w:sz w:val="18"/>
        </w:rPr>
        <w:t>results/figures/figure_3_redundancy_and_stratified_sensitivity.png</w:t>
      </w:r>
    </w:p>
    <w:p>
      <w:pPr>
        <w:pStyle w:val="Heading1"/>
      </w:pPr>
      <w:r>
        <w:t>Figure 4. Core-position presentation gap</w:t>
      </w:r>
    </w:p>
    <w:p>
      <w:r>
        <w:rPr>
          <w:rFonts w:ascii="Times New Roman" w:hAnsi="Times New Roman"/>
        </w:rPr>
        <w:t>For each HBV core 15-mer window start position, occurrence-weighted predicted</w:t>
      </w:r>
    </w:p>
    <w:p>
      <w:r>
        <w:rPr>
          <w:rFonts w:ascii="Times New Roman" w:hAnsi="Times New Roman"/>
        </w:rPr>
        <w:t>binder rates were plotted for DQA1*03:01/DQB1*03:02 and the combined</w:t>
      </w:r>
    </w:p>
    <w:p>
      <w:r>
        <w:rPr>
          <w:rFonts w:ascii="Times New Roman" w:hAnsi="Times New Roman"/>
        </w:rPr>
        <w:t>DQB1*03:01-containing risk pairs. The shaded region shows the presentation gap</w:t>
      </w:r>
    </w:p>
    <w:p>
      <w:r>
        <w:rPr>
          <w:rFonts w:ascii="Times New Roman" w:hAnsi="Times New Roman"/>
        </w:rPr>
        <w:t>where the DQB1*03:02 comparator exceeds the combined risk-pair rate. The</w:t>
      </w:r>
    </w:p>
    <w:p>
      <w:r>
        <w:rPr>
          <w:rFonts w:ascii="Times New Roman" w:hAnsi="Times New Roman"/>
        </w:rPr>
        <w:t>largest gap localized to N-terminal core windows, especially positions 2-27.</w:t>
      </w:r>
    </w:p>
    <w:p>
      <w:r>
        <w:rPr>
          <w:rFonts w:ascii="Times New Roman" w:hAnsi="Times New Roman"/>
        </w:rPr>
        <w:t xml:space="preserve">File: </w:t>
      </w:r>
      <w:r>
        <w:rPr>
          <w:rFonts w:ascii="Courier New" w:hAnsi="Courier New"/>
          <w:sz w:val="18"/>
        </w:rPr>
        <w:t>results/figures/figure_4_core_position_presentation_gap.png</w:t>
      </w:r>
    </w:p>
    <w:p>
      <w:pPr>
        <w:pStyle w:val="Heading1"/>
      </w:pPr>
      <w:r>
        <w:t>Figure 5. Overlap with known IEDB human HBV core MHC-II epitopes</w:t>
      </w:r>
    </w:p>
    <w:p>
      <w:r>
        <w:rPr>
          <w:rFonts w:ascii="Times New Roman" w:hAnsi="Times New Roman"/>
        </w:rPr>
        <w:t>IEDB human positive HBV T-cell epitope records were retrieved through the IEDB</w:t>
      </w:r>
    </w:p>
    <w:p>
      <w:r>
        <w:rPr>
          <w:rFonts w:ascii="Times New Roman" w:hAnsi="Times New Roman"/>
        </w:rPr>
        <w:t>query API. Bars show the number of predicted binder peptides overlapping known</w:t>
      </w:r>
    </w:p>
    <w:p>
      <w:r>
        <w:rPr>
          <w:rFonts w:ascii="Times New Roman" w:hAnsi="Times New Roman"/>
        </w:rPr>
        <w:t>core/nucleocapsid MHC-II epitopes for NetMHCIIpan BA and IEDB recommended</w:t>
      </w:r>
    </w:p>
    <w:p>
      <w:r>
        <w:rPr>
          <w:rFonts w:ascii="Times New Roman" w:hAnsi="Times New Roman"/>
        </w:rPr>
        <w:t>predictions. NetMHCIIpan-predicted DQB1*03:01 core binders did not overlap</w:t>
      </w:r>
    </w:p>
    <w:p>
      <w:r>
        <w:rPr>
          <w:rFonts w:ascii="Times New Roman" w:hAnsi="Times New Roman"/>
        </w:rPr>
        <w:t>known core/nucleocapsid MHC-II epitopes, whereas the DQB1*03:02 comparator did.</w:t>
      </w:r>
    </w:p>
    <w:p>
      <w:r>
        <w:rPr>
          <w:rFonts w:ascii="Times New Roman" w:hAnsi="Times New Roman"/>
        </w:rPr>
        <w:t xml:space="preserve">File: </w:t>
      </w:r>
      <w:r>
        <w:rPr>
          <w:rFonts w:ascii="Courier New" w:hAnsi="Courier New"/>
          <w:sz w:val="18"/>
        </w:rPr>
        <w:t>results/figures/figure_5_iedb_core_mhcii_epitope_overlap.png</w:t>
      </w:r>
    </w:p>
    <w:p>
      <w:pPr>
        <w:pStyle w:val="Heading1"/>
      </w:pPr>
      <w:r>
        <w:t>Supplementary Figure 1. Reference HBV proteome control</w:t>
      </w:r>
    </w:p>
    <w:p>
      <w:r>
        <w:rPr>
          <w:rFonts w:ascii="Times New Roman" w:hAnsi="Times New Roman"/>
        </w:rPr>
        <w:t>Reference HBV NC_003977.2 polymerase, large envelope, X protein, and</w:t>
      </w:r>
    </w:p>
    <w:p>
      <w:r>
        <w:rPr>
          <w:rFonts w:ascii="Times New Roman" w:hAnsi="Times New Roman"/>
        </w:rPr>
        <w:t>core/capsid peptides were predicted against the expanded HLA-DQ panel. Heatmap</w:t>
      </w:r>
    </w:p>
    <w:p>
      <w:r>
        <w:rPr>
          <w:rFonts w:ascii="Times New Roman" w:hAnsi="Times New Roman"/>
        </w:rPr>
        <w:t>values show binder rates at percentile rank &lt;10. DQB1*03:01-containing</w:t>
      </w:r>
    </w:p>
    <w:p>
      <w:r>
        <w:rPr>
          <w:rFonts w:ascii="Times New Roman" w:hAnsi="Times New Roman"/>
        </w:rPr>
        <w:t>heterodimers retained predicted binding to X, envelope, and polymerase peptides</w:t>
      </w:r>
    </w:p>
    <w:p>
      <w:r>
        <w:rPr>
          <w:rFonts w:ascii="Times New Roman" w:hAnsi="Times New Roman"/>
        </w:rPr>
        <w:t>but showed zero predicted binders for reference core/capsid peptides.</w:t>
      </w:r>
    </w:p>
    <w:p>
      <w:r>
        <w:rPr>
          <w:rFonts w:ascii="Times New Roman" w:hAnsi="Times New Roman"/>
        </w:rPr>
        <w:t xml:space="preserve">File: </w:t>
      </w:r>
      <w:r>
        <w:rPr>
          <w:rFonts w:ascii="Courier New" w:hAnsi="Courier New"/>
          <w:sz w:val="18"/>
        </w:rPr>
        <w:t>results/figures/figure_reference_proteome_binding_heatmap.png</w:t>
      </w:r>
    </w:p>
    <w:p>
      <w:pPr>
        <w:pStyle w:val="Heading1"/>
      </w:pPr>
      <w:r>
        <w:t>Supplementary Figure 2. Core-position best-rank landscape</w:t>
      </w:r>
    </w:p>
    <w:p>
      <w:r>
        <w:rPr>
          <w:rFonts w:ascii="Times New Roman" w:hAnsi="Times New Roman"/>
        </w:rPr>
        <w:t>For each HBV core 15-mer window start position, the best percentile rank among</w:t>
      </w:r>
    </w:p>
    <w:p>
      <w:r>
        <w:rPr>
          <w:rFonts w:ascii="Times New Roman" w:hAnsi="Times New Roman"/>
        </w:rPr>
        <w:t>public sequence variants was plotted by HLA-DQ pair. Horizontal lines indicate</w:t>
      </w:r>
    </w:p>
    <w:p>
      <w:r>
        <w:rPr>
          <w:rFonts w:ascii="Times New Roman" w:hAnsi="Times New Roman"/>
        </w:rPr>
        <w:t>rank &lt;10 binder and rank &lt;2 strong binder thresholds.</w:t>
      </w:r>
    </w:p>
    <w:p>
      <w:r>
        <w:rPr>
          <w:rFonts w:ascii="Times New Roman" w:hAnsi="Times New Roman"/>
        </w:rPr>
        <w:t xml:space="preserve">File: </w:t>
      </w:r>
      <w:r>
        <w:rPr>
          <w:rFonts w:ascii="Courier New" w:hAnsi="Courier New"/>
          <w:sz w:val="18"/>
        </w:rPr>
        <w:t>results/figures/figure_core_binding_landscape.png</w:t>
      </w:r>
    </w:p>
    <w:sectPr w:rsidR="00FC693F" w:rsidRPr="0006063C" w:rsidSect="00034616"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F6C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F6C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