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Times New Roman" w:hAnsi="Times New Roman"/>
        </w:rPr>
        <w:t>Supplementary Note</w:t>
      </w:r>
    </w:p>
    <w:p>
      <w:pPr>
        <w:pStyle w:val="Heading1"/>
      </w:pPr>
      <w:r>
        <w:t>Reproducibility Commands</w:t>
      </w:r>
    </w:p>
    <w:p>
      <w:pPr/>
      <w:r>
        <w:rPr>
          <w:rFonts w:ascii="Courier New" w:hAnsi="Courier New"/>
          <w:sz w:val="16"/>
        </w:rPr>
        <w:t>python scripts/fetch_hbv_genbank_full_set.py --chunk-size 50</w:t>
        <w:br/>
        <w:t>python scripts/extract_core_diversity_set.py --prefix core_full</w:t>
        <w:br/>
        <w:t>python scripts/run_iedb_mhcii_batch.py --fasta data/processed/core_full_unique_15mer.fasta --meta data/processed/core_full_unique_15mer_metadata.csv --out results/tables/core_full_expanded_dq_netmhciipan_predictions.csv --method netmhciipan --allele-panel data/manual/hla_dq_panel_iteration3.csv --chunk-size 500 --resume-existing --retries 5 --timeout 240</w:t>
        <w:br/>
        <w:t>python scripts/analyze_core_prediction_set.py --pred results/tables/core_full_expanded_dq_netmhciipan_predictions.csv --qc data/processed/core_full_record_qc.csv --out-prefix core_full_expanded_dq_netmhciipan --primary HLA-DQA1*03:01/DQB1*03:02</w:t>
        <w:br/>
        <w:t>python scripts/run_iedb_mhcii_batch.py --fasta data/processed/core_full_unique_15mer.fasta --meta data/processed/core_full_unique_15mer_metadata.csv --out results/tables/core_full_iedb_recommended_predictions.csv --method recommended --chunk-size 500 --resume-existing --retries 5 --timeout 240</w:t>
        <w:br/>
        <w:t>python scripts/analyze_core_prediction_set.py --pred results/tables/core_full_iedb_recommended_predictions.csv --qc data/processed/core_full_record_qc.csv --out-prefix core_full_iedb_recommended --primary HLA-DQA1*03:01/DQB1*03:02</w:t>
        <w:br/>
        <w:t>python scripts/core_redundancy_bootstrap.py --qc data/processed/core_full_record_qc.csv --pred results/tables/core_full_expanded_dq_netmhciipan_predictions.csv --out-prefix core_full_expanded_dq --bootstrap 1000 --primary HLA-DQA1*03:01/DQB1*03:02</w:t>
        <w:br/>
        <w:t>python scripts/core_stratified_sensitivity.py --qc data/processed/core_full_record_qc.csv --pred results/tables/core_full_expanded_dq_netmhciipan_predictions.csv --out-prefix core_full_expanded_dq --primary HLA-DQA1*03:01/DQB1*03:02 --min-country-records 20</w:t>
        <w:br/>
        <w:t>python scripts/core_position_gap_analysis.py --pred results/tables/core_full_expanded_dq_netmhciipan_predictions.csv --out-prefix core_full_expanded_dq</w:t>
        <w:br/>
        <w:t>python scripts/iedb_hbv_epitope_overlap.py --pred results/tables/core_full_expanded_dq_netmhciipan_predictions.csv --out-prefix core_full_expanded_dq</w:t>
        <w:br/>
        <w:t>python scripts/iedb_hbv_epitope_overlap.py --pred results/tables/core_full_iedb_recommended_predictions.csv --out-prefix core_full_iedb_recommended</w:t>
        <w:br/>
        <w:t>python scripts/generate_reference_proteome_15mers.py</w:t>
        <w:br/>
        <w:t>python scripts/run_iedb_mhcii_batch.py --fasta data/processed/reference_proteome_15mer.fasta --meta data/processed/reference_proteome_15mer_metadata.csv --out results/tables/reference_proteome_expanded_dq_netmhciipan_predictions.csv --method netmhciipan --allele-panel data/manual/hla_dq_panel_iteration3.csv --chunk-size 500 --resume-existing --retries 5 --timeout 240</w:t>
        <w:br/>
        <w:t>python scripts/summarize_reference_proteome_binding.py</w:t>
        <w:br/>
        <w:t>python scripts/make_full_submission_figures.py</w:t>
        <w:br/>
        <w:t>python scripts/build_submission_docx.py</w:t>
      </w:r>
    </w:p>
    <w:p>
      <w:pPr>
        <w:pStyle w:val="Heading1"/>
      </w:pPr>
      <w:r>
        <w:t>Main Supplementary Tables</w:t>
      </w:r>
    </w:p>
    <w:p>
      <w:pPr>
        <w:pStyle w:val="ListBullet"/>
      </w:pPr>
      <w:r>
        <w:rPr>
          <w:rFonts w:ascii="Courier New" w:hAnsi="Courier New"/>
          <w:sz w:val="18"/>
        </w:rPr>
        <w:t>data/processed/core_full_record_qc.csv</w:t>
      </w:r>
      <w:r>
        <w:rPr>
          <w:rFonts w:ascii="Times New Roman" w:hAnsi="Times New Roman"/>
        </w:rPr>
        <w:t>: GenBank record QC table.</w:t>
      </w:r>
    </w:p>
    <w:p>
      <w:pPr>
        <w:pStyle w:val="ListBullet"/>
      </w:pPr>
      <w:r>
        <w:rPr>
          <w:rFonts w:ascii="Courier New" w:hAnsi="Courier New"/>
          <w:sz w:val="18"/>
        </w:rPr>
        <w:t>data/processed/core_full_unique_15mer_metadata.csv</w:t>
      </w:r>
      <w:r>
        <w:rPr>
          <w:rFonts w:ascii="Times New Roman" w:hAnsi="Times New Roman"/>
        </w:rPr>
        <w:t>: unique public-core</w:t>
      </w:r>
    </w:p>
    <w:p>
      <w:r>
        <w:rPr>
          <w:rFonts w:ascii="Times New Roman" w:hAnsi="Times New Roman"/>
        </w:rPr>
        <w:t xml:space="preserve">  15-mer metadata and source occurrence mapping.</w:t>
      </w:r>
    </w:p>
    <w:p>
      <w:pPr>
        <w:pStyle w:val="ListBullet"/>
      </w:pPr>
      <w:r>
        <w:rPr>
          <w:rFonts w:ascii="Courier New" w:hAnsi="Courier New"/>
          <w:sz w:val="18"/>
        </w:rPr>
        <w:t>results/tables/core_full_expanded_dq_netmhciipan_predictions.csv</w:t>
      </w:r>
      <w:r>
        <w:rPr>
          <w:rFonts w:ascii="Times New Roman" w:hAnsi="Times New Roman"/>
        </w:rPr>
        <w:t>: expanded</w:t>
      </w:r>
    </w:p>
    <w:p>
      <w:r>
        <w:rPr>
          <w:rFonts w:ascii="Times New Roman" w:hAnsi="Times New Roman"/>
        </w:rPr>
        <w:t xml:space="preserve">  HLA-DQ NetMHCIIpan predictions.</w:t>
      </w:r>
    </w:p>
    <w:p>
      <w:pPr>
        <w:pStyle w:val="ListBullet"/>
      </w:pPr>
      <w:r>
        <w:rPr>
          <w:rFonts w:ascii="Courier New" w:hAnsi="Courier New"/>
          <w:sz w:val="18"/>
        </w:rPr>
        <w:t>results/tables/core_full_expanded_dq_netmhciipan_summary_by_allele.csv</w:t>
      </w:r>
      <w:r>
        <w:rPr>
          <w:rFonts w:ascii="Times New Roman" w:hAnsi="Times New Roman"/>
        </w:rPr>
        <w:t>:</w:t>
      </w:r>
    </w:p>
    <w:p>
      <w:r>
        <w:rPr>
          <w:rFonts w:ascii="Times New Roman" w:hAnsi="Times New Roman"/>
        </w:rPr>
        <w:t xml:space="preserve">  expanded panel summary by allele.</w:t>
      </w:r>
    </w:p>
    <w:p>
      <w:pPr>
        <w:pStyle w:val="ListBullet"/>
      </w:pPr>
      <w:r>
        <w:rPr>
          <w:rFonts w:ascii="Courier New" w:hAnsi="Courier New"/>
          <w:sz w:val="18"/>
        </w:rPr>
        <w:t>results/tables/core_full_expanded_dq_dedup_sensitivity.csv</w:t>
      </w:r>
      <w:r>
        <w:rPr>
          <w:rFonts w:ascii="Times New Roman" w:hAnsi="Times New Roman"/>
        </w:rPr>
        <w:t>:</w:t>
      </w:r>
    </w:p>
    <w:p>
      <w:r>
        <w:rPr>
          <w:rFonts w:ascii="Times New Roman" w:hAnsi="Times New Roman"/>
        </w:rPr>
        <w:t xml:space="preserve">  de-redundancy sensitivity results.</w:t>
      </w:r>
    </w:p>
    <w:p>
      <w:pPr>
        <w:pStyle w:val="ListBullet"/>
      </w:pPr>
      <w:r>
        <w:rPr>
          <w:rFonts w:ascii="Courier New" w:hAnsi="Courier New"/>
          <w:sz w:val="18"/>
        </w:rPr>
        <w:t>results/tables/core_full_expanded_dq_record_bootstrap.csv</w:t>
      </w:r>
      <w:r>
        <w:rPr>
          <w:rFonts w:ascii="Times New Roman" w:hAnsi="Times New Roman"/>
        </w:rPr>
        <w:t>: record-level</w:t>
      </w:r>
    </w:p>
    <w:p>
      <w:r>
        <w:rPr>
          <w:rFonts w:ascii="Times New Roman" w:hAnsi="Times New Roman"/>
        </w:rPr>
        <w:t xml:space="preserve">  bootstrap intervals.</w:t>
      </w:r>
    </w:p>
    <w:p>
      <w:pPr>
        <w:pStyle w:val="ListBullet"/>
      </w:pPr>
      <w:r>
        <w:rPr>
          <w:rFonts w:ascii="Courier New" w:hAnsi="Courier New"/>
          <w:sz w:val="18"/>
        </w:rPr>
        <w:t>results/tables/core_full_expanded_dq_stratified_sensitivity.csv</w:t>
      </w:r>
      <w:r>
        <w:rPr>
          <w:rFonts w:ascii="Times New Roman" w:hAnsi="Times New Roman"/>
        </w:rPr>
        <w:t>: genotype,</w:t>
      </w:r>
    </w:p>
    <w:p>
      <w:r>
        <w:rPr>
          <w:rFonts w:ascii="Times New Roman" w:hAnsi="Times New Roman"/>
        </w:rPr>
        <w:t xml:space="preserve">  region, country, and year-bin stratified rates.</w:t>
      </w:r>
    </w:p>
    <w:p>
      <w:pPr>
        <w:pStyle w:val="ListBullet"/>
      </w:pPr>
      <w:r>
        <w:rPr>
          <w:rFonts w:ascii="Courier New" w:hAnsi="Courier New"/>
          <w:sz w:val="18"/>
        </w:rPr>
        <w:t>results/tables/core_full_expanded_dq_position_gap_summary.csv</w:t>
      </w:r>
      <w:r>
        <w:rPr>
          <w:rFonts w:ascii="Times New Roman" w:hAnsi="Times New Roman"/>
        </w:rPr>
        <w:t>: position-level</w:t>
      </w:r>
    </w:p>
    <w:p>
      <w:r>
        <w:rPr>
          <w:rFonts w:ascii="Times New Roman" w:hAnsi="Times New Roman"/>
        </w:rPr>
        <w:t xml:space="preserve">  DQB1*03:02 versus DQB1*03:01 risk-pair presentation gaps.</w:t>
      </w:r>
    </w:p>
    <w:p>
      <w:pPr>
        <w:pStyle w:val="ListBullet"/>
      </w:pPr>
      <w:r>
        <w:rPr>
          <w:rFonts w:ascii="Courier New" w:hAnsi="Courier New"/>
          <w:sz w:val="18"/>
        </w:rPr>
        <w:t>data/processed/iedb_hbv_human_positive_tcell_epitopes.csv</w:t>
      </w:r>
      <w:r>
        <w:rPr>
          <w:rFonts w:ascii="Times New Roman" w:hAnsi="Times New Roman"/>
        </w:rPr>
        <w:t>: normalized IEDB</w:t>
      </w:r>
    </w:p>
    <w:p>
      <w:r>
        <w:rPr>
          <w:rFonts w:ascii="Times New Roman" w:hAnsi="Times New Roman"/>
        </w:rPr>
        <w:t xml:space="preserve">  human HBV positive T-cell epitopes.</w:t>
      </w:r>
    </w:p>
    <w:p>
      <w:pPr>
        <w:pStyle w:val="ListBullet"/>
      </w:pPr>
      <w:r>
        <w:rPr>
          <w:rFonts w:ascii="Courier New" w:hAnsi="Courier New"/>
          <w:sz w:val="18"/>
        </w:rPr>
        <w:t>results/tables/core_full_expanded_dq_iedb_epitope_overlap_summary_by_allele.csv</w:t>
      </w:r>
      <w:r>
        <w:rPr>
          <w:rFonts w:ascii="Times New Roman" w:hAnsi="Times New Roman"/>
        </w:rPr>
        <w:t>:</w:t>
      </w:r>
    </w:p>
    <w:p>
      <w:r>
        <w:rPr>
          <w:rFonts w:ascii="Times New Roman" w:hAnsi="Times New Roman"/>
        </w:rPr>
        <w:t xml:space="preserve">  overlap with known HBV core/nucleocapsid T-cell epitopes.</w:t>
      </w:r>
    </w:p>
    <w:p>
      <w:pPr>
        <w:pStyle w:val="ListBullet"/>
      </w:pPr>
      <w:r>
        <w:rPr>
          <w:rFonts w:ascii="Courier New" w:hAnsi="Courier New"/>
          <w:sz w:val="18"/>
        </w:rPr>
        <w:t>results/tables/reference_proteome_expanded_dq_summary_by_protein_allele.csv</w:t>
      </w:r>
      <w:r>
        <w:rPr>
          <w:rFonts w:ascii="Times New Roman" w:hAnsi="Times New Roman"/>
        </w:rPr>
        <w:t>:</w:t>
      </w:r>
    </w:p>
    <w:p>
      <w:r>
        <w:rPr>
          <w:rFonts w:ascii="Times New Roman" w:hAnsi="Times New Roman"/>
        </w:rPr>
        <w:t xml:space="preserve">  reference HBV proteome control summary.</w:t>
      </w:r>
    </w:p>
    <w:p>
      <w:pPr>
        <w:pStyle w:val="Heading1"/>
      </w:pPr>
      <w:r>
        <w:t>Submission Tables</w:t>
      </w:r>
    </w:p>
    <w:p>
      <w:pPr>
        <w:pStyle w:val="ListBullet"/>
      </w:pPr>
      <w:r>
        <w:rPr>
          <w:rFonts w:ascii="Courier New" w:hAnsi="Courier New"/>
          <w:sz w:val="18"/>
        </w:rPr>
        <w:t>submission/tables/table_1_dataset_qc_summary.csv</w:t>
      </w:r>
    </w:p>
    <w:p>
      <w:pPr>
        <w:pStyle w:val="ListBullet"/>
      </w:pPr>
      <w:r>
        <w:rPr>
          <w:rFonts w:ascii="Courier New" w:hAnsi="Courier New"/>
          <w:sz w:val="18"/>
        </w:rPr>
        <w:t>submission/tables/table_2_full_hla_dq_binder_summary.csv</w:t>
      </w:r>
    </w:p>
    <w:p>
      <w:pPr>
        <w:pStyle w:val="ListBullet"/>
      </w:pPr>
      <w:r>
        <w:rPr>
          <w:rFonts w:ascii="Courier New" w:hAnsi="Courier New"/>
          <w:sz w:val="18"/>
        </w:rPr>
        <w:t>submission/tables/supplementary_table_pairwise_fisher_tests.csv</w:t>
      </w:r>
    </w:p>
    <w:p>
      <w:pPr>
        <w:pStyle w:val="ListBullet"/>
      </w:pPr>
      <w:r>
        <w:rPr>
          <w:rFonts w:ascii="Courier New" w:hAnsi="Courier New"/>
          <w:sz w:val="18"/>
        </w:rPr>
        <w:t>submission/tables/supplementary_table_dedup_sensitivity.csv</w:t>
      </w:r>
    </w:p>
    <w:p>
      <w:pPr>
        <w:pStyle w:val="ListBullet"/>
      </w:pPr>
      <w:r>
        <w:rPr>
          <w:rFonts w:ascii="Courier New" w:hAnsi="Courier New"/>
          <w:sz w:val="18"/>
        </w:rPr>
        <w:t>submission/tables/supplementary_table_record_bootstrap.csv</w:t>
      </w:r>
    </w:p>
    <w:p>
      <w:pPr>
        <w:pStyle w:val="ListBullet"/>
      </w:pPr>
      <w:r>
        <w:rPr>
          <w:rFonts w:ascii="Courier New" w:hAnsi="Courier New"/>
          <w:sz w:val="18"/>
        </w:rPr>
        <w:t>submission/tables/supplementary_table_stratified_sensitivity.csv</w:t>
      </w:r>
    </w:p>
    <w:p>
      <w:pPr>
        <w:pStyle w:val="ListBullet"/>
      </w:pPr>
      <w:r>
        <w:rPr>
          <w:rFonts w:ascii="Courier New" w:hAnsi="Courier New"/>
          <w:sz w:val="18"/>
        </w:rPr>
        <w:t>submission/tables/supplementary_table_position_gap_summary.csv</w:t>
      </w:r>
    </w:p>
    <w:p>
      <w:pPr>
        <w:pStyle w:val="ListBullet"/>
      </w:pPr>
      <w:r>
        <w:rPr>
          <w:rFonts w:ascii="Courier New" w:hAnsi="Courier New"/>
          <w:sz w:val="18"/>
        </w:rPr>
        <w:t>submission/tables/supplementary_table_iedb_epitope_overlap_summary.csv</w:t>
      </w:r>
    </w:p>
    <w:p>
      <w:pPr>
        <w:pStyle w:val="ListBullet"/>
      </w:pPr>
      <w:r>
        <w:rPr>
          <w:rFonts w:ascii="Courier New" w:hAnsi="Courier New"/>
          <w:sz w:val="18"/>
        </w:rPr>
        <w:t>submission/tables/supplementary_table_method_sensitivity_recommended.csv</w:t>
      </w:r>
    </w:p>
    <w:p>
      <w:pPr>
        <w:pStyle w:val="ListBullet"/>
      </w:pPr>
      <w:r>
        <w:rPr>
          <w:rFonts w:ascii="Courier New" w:hAnsi="Courier New"/>
          <w:sz w:val="18"/>
        </w:rPr>
        <w:t>submission/tables/supplementary_table_top_core_position_gaps.csv</w:t>
      </w:r>
    </w:p>
    <w:p>
      <w:pPr>
        <w:pStyle w:val="ListBullet"/>
      </w:pPr>
      <w:r>
        <w:rPr>
          <w:rFonts w:ascii="Courier New" w:hAnsi="Courier New"/>
          <w:sz w:val="18"/>
        </w:rPr>
        <w:t>submission/tables/supplementary_table_reference_proteome_by_protein_allele.csv</w:t>
      </w:r>
    </w:p>
    <w:p>
      <w:pPr>
        <w:pStyle w:val="ListBullet"/>
      </w:pPr>
      <w:r>
        <w:rPr>
          <w:rFonts w:ascii="Courier New" w:hAnsi="Courier New"/>
          <w:sz w:val="18"/>
        </w:rPr>
        <w:t>submission/tables/supplementary_table_region_counts.csv</w:t>
      </w:r>
    </w:p>
    <w:p>
      <w:pPr>
        <w:pStyle w:val="Heading1"/>
      </w:pPr>
      <w:r>
        <w:t>Negative Pilot Summary</w:t>
      </w:r>
    </w:p>
    <w:p>
      <w:r>
        <w:rPr>
          <w:rFonts w:ascii="Times New Roman" w:hAnsi="Times New Roman"/>
        </w:rPr>
        <w:t>The original mutation-loss hypothesis was tested in exploratory analyses using</w:t>
      </w:r>
    </w:p>
    <w:p>
      <w:r>
        <w:rPr>
          <w:rFonts w:ascii="Times New Roman" w:hAnsi="Times New Roman"/>
        </w:rPr>
        <w:t>literature-derived HBx and PreS/S HCC-associated hotspots. HBx hotspots did not</w:t>
      </w:r>
    </w:p>
    <w:p>
      <w:r>
        <w:rPr>
          <w:rFonts w:ascii="Times New Roman" w:hAnsi="Times New Roman"/>
        </w:rPr>
        <w:t>produce DQB1*03:01-specific binder gain or loss. PreS/S S166L showed binding</w:t>
      </w:r>
    </w:p>
    <w:p>
      <w:r>
        <w:rPr>
          <w:rFonts w:ascii="Times New Roman" w:hAnsi="Times New Roman"/>
        </w:rPr>
        <w:t>spectrum remodeling rather than binder-to-non-binder loss. These findings are</w:t>
      </w:r>
    </w:p>
    <w:p>
      <w:r>
        <w:rPr>
          <w:rFonts w:ascii="Times New Roman" w:hAnsi="Times New Roman"/>
        </w:rPr>
        <w:t>reported as negative exploratory analyses and are not used as the main claim.</w:t>
      </w:r>
    </w:p>
    <w:p>
      <w:pPr>
        <w:pStyle w:val="Heading1"/>
      </w:pPr>
      <w:r>
        <w:t>Skill-Guided Workflow Notes</w:t>
      </w:r>
    </w:p>
    <w:p>
      <w:r>
        <w:rPr>
          <w:rFonts w:ascii="Times New Roman" w:hAnsi="Times New Roman"/>
        </w:rPr>
        <w:t>The project used the local life-science research instructions for PubMed,</w:t>
      </w:r>
    </w:p>
    <w:p>
      <w:r>
        <w:rPr>
          <w:rFonts w:ascii="Times New Roman" w:hAnsi="Times New Roman"/>
        </w:rPr>
        <w:t>NCBI/GenBank, IEDB, and IPD-oriented reasoning; GitHub-sourced biomedical</w:t>
      </w:r>
    </w:p>
    <w:p>
      <w:r>
        <w:rPr>
          <w:rFonts w:ascii="Times New Roman" w:hAnsi="Times New Roman"/>
        </w:rPr>
        <w:t>workflow skills for public-dataset intake, paper-to-pipeline conversion, and</w:t>
      </w:r>
    </w:p>
    <w:p>
      <w:r>
        <w:rPr>
          <w:rFonts w:ascii="Times New Roman" w:hAnsi="Times New Roman"/>
        </w:rPr>
        <w:t>results-to-figure organization; publication-chart guidance for figure export</w:t>
      </w:r>
    </w:p>
    <w:p>
      <w:r>
        <w:rPr>
          <w:rFonts w:ascii="Times New Roman" w:hAnsi="Times New Roman"/>
        </w:rPr>
        <w:t>and visual QA; and nature-style writing guidance for restrained claims,</w:t>
      </w:r>
    </w:p>
    <w:p>
      <w:r>
        <w:rPr>
          <w:rFonts w:ascii="Times New Roman" w:hAnsi="Times New Roman"/>
        </w:rPr>
        <w:t>negative-result handling, and limitations. The Seurat-oriented skill was</w:t>
      </w:r>
    </w:p>
    <w:p>
      <w:r>
        <w:rPr>
          <w:rFonts w:ascii="Times New Roman" w:hAnsi="Times New Roman"/>
        </w:rPr>
        <w:t>reviewed but not applied because no single-cell or spatial transcriptomic data</w:t>
      </w:r>
    </w:p>
    <w:p>
      <w:r>
        <w:rPr>
          <w:rFonts w:ascii="Times New Roman" w:hAnsi="Times New Roman"/>
        </w:rPr>
        <w:t>were part of this public HBV sequence analysis.</w:t>
      </w:r>
    </w:p>
    <w:sectPr w:rsidR="00FC693F" w:rsidRPr="0006063C" w:rsidSect="00034616"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F6C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F6C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