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Public HBV genotype B/C core diversity reveals an HLA-DQB1*03:01-associated class-II presentation gap</w:t>
      </w:r>
    </w:p>
    <w:p>
      <w:pPr>
        <w:pStyle w:val="Heading1"/>
      </w:pPr>
      <w:r>
        <w:t>Article Type</w:t>
      </w:r>
    </w:p>
    <w:p>
      <w:r>
        <w:rPr>
          <w:rFonts w:ascii="Times New Roman" w:hAnsi="Times New Roman"/>
        </w:rPr>
        <w:t>Article</w:t>
      </w:r>
    </w:p>
    <w:p>
      <w:pPr>
        <w:pStyle w:val="Heading1"/>
      </w:pPr>
      <w:r>
        <w:t>Short Title</w:t>
      </w:r>
    </w:p>
    <w:p>
      <w:r>
        <w:rPr>
          <w:rFonts w:ascii="Times New Roman" w:hAnsi="Times New Roman"/>
        </w:rPr>
        <w:t>HBV core diversity and DQB1*03:01 presentation gap</w:t>
      </w:r>
    </w:p>
    <w:p>
      <w:pPr>
        <w:pStyle w:val="Heading1"/>
      </w:pPr>
      <w:r>
        <w:t>Authors</w:t>
      </w:r>
    </w:p>
    <w:p>
      <w:r>
        <w:rPr>
          <w:rFonts w:ascii="Times New Roman" w:hAnsi="Times New Roman"/>
        </w:rPr>
        <w:t>Linfeng Liu 1,*</w:t>
      </w:r>
    </w:p>
    <w:p>
      <w:r>
        <w:rPr>
          <w:rFonts w:ascii="Times New Roman" w:hAnsi="Times New Roman"/>
        </w:rPr>
        <w:t>ORCID: https://orcid.org/0009-0009-2719-4427</w:t>
      </w:r>
    </w:p>
    <w:p>
      <w:pPr>
        <w:pStyle w:val="Heading1"/>
      </w:pPr>
      <w:r>
        <w:t>Affiliations</w:t>
      </w:r>
    </w:p>
    <w:p>
      <w:pPr>
        <w:pStyle w:val="ListNumber"/>
      </w:pPr>
      <w:r>
        <w:rPr>
          <w:rFonts w:ascii="Times New Roman" w:hAnsi="Times New Roman"/>
        </w:rPr>
        <w:t>The First School of Clinical Medicine, Southern Medical University,</w:t>
      </w:r>
    </w:p>
    <w:p>
      <w:r>
        <w:rPr>
          <w:rFonts w:ascii="Times New Roman" w:hAnsi="Times New Roman"/>
        </w:rPr>
        <w:t xml:space="preserve">   Guangzhou, Guangdong, China</w:t>
      </w:r>
    </w:p>
    <w:p>
      <w:pPr>
        <w:pStyle w:val="Heading1"/>
      </w:pPr>
      <w:r>
        <w:t>Correspondence</w:t>
      </w:r>
    </w:p>
    <w:p>
      <w:r>
        <w:rPr>
          <w:rFonts w:ascii="Times New Roman" w:hAnsi="Times New Roman"/>
        </w:rPr>
        <w:t>* Correspondence: Linfeng Liu, The First School of Clinical Medicine, Southern</w:t>
      </w:r>
    </w:p>
    <w:p>
      <w:r>
        <w:rPr>
          <w:rFonts w:ascii="Times New Roman" w:hAnsi="Times New Roman"/>
        </w:rPr>
        <w:t xml:space="preserve">  Medical University, Guangzhou, Guangdong, China. Email: 2549512000@qq.com;</w:t>
      </w:r>
    </w:p>
    <w:p>
      <w:r>
        <w:rPr>
          <w:rFonts w:ascii="Times New Roman" w:hAnsi="Times New Roman"/>
        </w:rPr>
        <w:t xml:space="preserve">  ORCID: https://orcid.org/0009-0009-2719-4427.</w:t>
      </w:r>
    </w:p>
    <w:p>
      <w:pPr>
        <w:pStyle w:val="Heading1"/>
      </w:pPr>
      <w:r>
        <w:t>Abstract</w:t>
      </w:r>
    </w:p>
    <w:p>
      <w:r>
        <w:rPr>
          <w:rFonts w:ascii="Times New Roman" w:hAnsi="Times New Roman"/>
        </w:rPr>
        <w:t>HLA-DQB1*03:01 has been associated with increased risk of hepatitis B virus</w:t>
      </w:r>
    </w:p>
    <w:p>
      <w:r>
        <w:rPr>
          <w:rFonts w:ascii="Times New Roman" w:hAnsi="Times New Roman"/>
        </w:rPr>
        <w:t>(HBV)-related hepatocellular carcinoma, and prior reference-sequence analyses</w:t>
      </w:r>
    </w:p>
    <w:p>
      <w:r>
        <w:rPr>
          <w:rFonts w:ascii="Times New Roman" w:hAnsi="Times New Roman"/>
        </w:rPr>
        <w:t>suggested reduced HLA-DQ binding to HBV nucleocapsid peptides. This study asked</w:t>
      </w:r>
    </w:p>
    <w:p>
      <w:r>
        <w:rPr>
          <w:rFonts w:ascii="Times New Roman" w:hAnsi="Times New Roman"/>
        </w:rPr>
        <w:t>whether this predicted class-II presentation gap is preserved across naturally</w:t>
      </w:r>
    </w:p>
    <w:p>
      <w:r>
        <w:rPr>
          <w:rFonts w:ascii="Times New Roman" w:hAnsi="Times New Roman"/>
        </w:rPr>
        <w:t>occurring public HBV genotype B/C core diversity. The analysis retrieved 3784</w:t>
      </w:r>
    </w:p>
    <w:p>
      <w:r>
        <w:rPr>
          <w:rFonts w:ascii="Times New Roman" w:hAnsi="Times New Roman"/>
        </w:rPr>
        <w:t>candidate NCBI GenBank complete-genome records, retained 1576 quality-controlled</w:t>
      </w:r>
    </w:p>
    <w:p>
      <w:r>
        <w:rPr>
          <w:rFonts w:ascii="Times New Roman" w:hAnsi="Times New Roman"/>
        </w:rPr>
        <w:t>genotype-labeled core translations, generated 11176 unique overlapping core</w:t>
      </w:r>
    </w:p>
    <w:p>
      <w:r>
        <w:rPr>
          <w:rFonts w:ascii="Times New Roman" w:hAnsi="Times New Roman"/>
        </w:rPr>
        <w:t>15-mer windows, and predicted binding for seven HLA-DQ heterodimers using IEDB</w:t>
      </w:r>
    </w:p>
    <w:p>
      <w:r>
        <w:rPr>
          <w:rFonts w:ascii="Times New Roman" w:hAnsi="Times New Roman"/>
        </w:rPr>
        <w:t>NetMHCIIpan. Occurrence-weighted predicted core binder rates were 10.52% for</w:t>
      </w:r>
    </w:p>
    <w:p>
      <w:r>
        <w:rPr>
          <w:rFonts w:ascii="Times New Roman" w:hAnsi="Times New Roman"/>
        </w:rPr>
        <w:t>DQA1*03:01/DQB1*03:02 but only 0.23% and 0.80% for DQA1*05:08/DQB1*03:01 and</w:t>
      </w:r>
    </w:p>
    <w:p>
      <w:r>
        <w:rPr>
          <w:rFonts w:ascii="Times New Roman" w:hAnsi="Times New Roman"/>
        </w:rPr>
        <w:t>DQA1*06:01/DQB1*03:01. The gap persisted after method sensitivity analysis,</w:t>
      </w:r>
    </w:p>
    <w:p>
      <w:r>
        <w:rPr>
          <w:rFonts w:ascii="Times New Roman" w:hAnsi="Times New Roman"/>
        </w:rPr>
        <w:t>exact and identity-based de-redundancy, record-level bootstrap,</w:t>
      </w:r>
    </w:p>
    <w:p>
      <w:r>
        <w:rPr>
          <w:rFonts w:ascii="Times New Roman" w:hAnsi="Times New Roman"/>
        </w:rPr>
        <w:t>genotype/region/year stratification, core-position mapping, IEDB human T-cell</w:t>
      </w:r>
    </w:p>
    <w:p>
      <w:r>
        <w:rPr>
          <w:rFonts w:ascii="Times New Roman" w:hAnsi="Times New Roman"/>
        </w:rPr>
        <w:t>epitope overlap analysis, and reference-proteome controls. The strongest gap</w:t>
      </w:r>
    </w:p>
    <w:p>
      <w:r>
        <w:rPr>
          <w:rFonts w:ascii="Times New Roman" w:hAnsi="Times New Roman"/>
        </w:rPr>
        <w:t>localized to HBV core N-terminal windows, especially positions 2-27. These</w:t>
      </w:r>
    </w:p>
    <w:p>
      <w:r>
        <w:rPr>
          <w:rFonts w:ascii="Times New Roman" w:hAnsi="Times New Roman"/>
        </w:rPr>
        <w:t>public-data results support a focused, experimentally testable hypothesis that</w:t>
      </w:r>
    </w:p>
    <w:p>
      <w:r>
        <w:rPr>
          <w:rFonts w:ascii="Times New Roman" w:hAnsi="Times New Roman"/>
        </w:rPr>
        <w:t>DQB1*03:01-containing HLA-DQ molecules leave a core/capsid CD4 T-cell</w:t>
      </w:r>
    </w:p>
    <w:p>
      <w:r>
        <w:rPr>
          <w:rFonts w:ascii="Times New Roman" w:hAnsi="Times New Roman"/>
        </w:rPr>
        <w:t>presentation gap in HBV genotype B/C infection.</w:t>
      </w:r>
    </w:p>
    <w:p>
      <w:pPr>
        <w:pStyle w:val="Heading1"/>
      </w:pPr>
      <w:r>
        <w:t>Keywords</w:t>
      </w:r>
    </w:p>
    <w:p>
      <w:r>
        <w:rPr>
          <w:rFonts w:ascii="Times New Roman" w:hAnsi="Times New Roman"/>
        </w:rPr>
        <w:t>hepatitis B virus; HLA-DQB1*03:01; HLA-DQ; MHC class II; CD4 T cell; HBV core;</w:t>
      </w:r>
    </w:p>
    <w:p>
      <w:r>
        <w:rPr>
          <w:rFonts w:ascii="Times New Roman" w:hAnsi="Times New Roman"/>
        </w:rPr>
        <w:t>hepatocellular carcinoma; immunogenomics; epitope prediction</w:t>
      </w:r>
    </w:p>
    <w:p>
      <w:pPr>
        <w:pStyle w:val="Heading1"/>
      </w:pPr>
      <w:r>
        <w:t>1. Introduction</w:t>
      </w:r>
    </w:p>
    <w:p>
      <w:r>
        <w:rPr>
          <w:rFonts w:ascii="Times New Roman" w:hAnsi="Times New Roman"/>
        </w:rPr>
        <w:t>Chronic hepatitis B virus (HBV) infection remains a major cause of</w:t>
      </w:r>
    </w:p>
    <w:p>
      <w:r>
        <w:rPr>
          <w:rFonts w:ascii="Times New Roman" w:hAnsi="Times New Roman"/>
        </w:rPr>
        <w:t>hepatocellular carcinoma (HCC) [1-7]. Progression from infection to chronic</w:t>
      </w:r>
    </w:p>
    <w:p>
      <w:r>
        <w:rPr>
          <w:rFonts w:ascii="Times New Roman" w:hAnsi="Times New Roman"/>
        </w:rPr>
        <w:t>liver inflammation, cirrhosis, and HCC is shaped by both viral genetic</w:t>
      </w:r>
    </w:p>
    <w:p>
      <w:r>
        <w:rPr>
          <w:rFonts w:ascii="Times New Roman" w:hAnsi="Times New Roman"/>
        </w:rPr>
        <w:t>variation and host immune genetics [8-16]. The HLA region is repeatedly</w:t>
      </w:r>
    </w:p>
    <w:p>
      <w:r>
        <w:rPr>
          <w:rFonts w:ascii="Times New Roman" w:hAnsi="Times New Roman"/>
        </w:rPr>
        <w:t>implicated in HBV persistence and HBV-related liver disease, consistent with a</w:t>
      </w:r>
    </w:p>
    <w:p>
      <w:r>
        <w:rPr>
          <w:rFonts w:ascii="Times New Roman" w:hAnsi="Times New Roman"/>
        </w:rPr>
        <w:t>central role for antigen presentation in long-term antiviral immune control</w:t>
      </w:r>
    </w:p>
    <w:p>
      <w:r>
        <w:rPr>
          <w:rFonts w:ascii="Times New Roman" w:hAnsi="Times New Roman"/>
        </w:rPr>
        <w:t>[17-31].</w:t>
      </w:r>
    </w:p>
    <w:p>
      <w:r>
        <w:rPr>
          <w:rFonts w:ascii="Times New Roman" w:hAnsi="Times New Roman"/>
        </w:rPr>
        <w:t>HLA class II presentation is especially relevant because CD4 T-cell responses</w:t>
      </w:r>
    </w:p>
    <w:p>
      <w:r>
        <w:rPr>
          <w:rFonts w:ascii="Times New Roman" w:hAnsi="Times New Roman"/>
        </w:rPr>
        <w:t>coordinate antiviral immunity, antibody maturation, cytotoxic T-cell function,</w:t>
      </w:r>
    </w:p>
    <w:p>
      <w:r>
        <w:rPr>
          <w:rFonts w:ascii="Times New Roman" w:hAnsi="Times New Roman"/>
        </w:rPr>
        <w:t>and immune memory. HBV core/nucleocapsid antigens are major immune targets, and</w:t>
      </w:r>
    </w:p>
    <w:p>
      <w:r>
        <w:rPr>
          <w:rFonts w:ascii="Times New Roman" w:hAnsi="Times New Roman"/>
        </w:rPr>
        <w:t>core-directed CD4 T-cell responses, processing, epitope variation, and</w:t>
      </w:r>
    </w:p>
    <w:p>
      <w:r>
        <w:rPr>
          <w:rFonts w:ascii="Times New Roman" w:hAnsi="Times New Roman"/>
        </w:rPr>
        <w:t>HLA-restricted reactivity have been repeatedly described in HBV infection</w:t>
      </w:r>
    </w:p>
    <w:p>
      <w:r>
        <w:rPr>
          <w:rFonts w:ascii="Times New Roman" w:hAnsi="Times New Roman"/>
        </w:rPr>
        <w:t>[32-40]. Impaired core-directed helper responses could plausibly contribute to</w:t>
      </w:r>
    </w:p>
    <w:p>
      <w:r>
        <w:rPr>
          <w:rFonts w:ascii="Times New Roman" w:hAnsi="Times New Roman"/>
        </w:rPr>
        <w:t>viral persistence, global T-cell dysfunction, or immune exhaustion [41-48]. A</w:t>
      </w:r>
    </w:p>
    <w:p>
      <w:r>
        <w:rPr>
          <w:rFonts w:ascii="Times New Roman" w:hAnsi="Times New Roman"/>
        </w:rPr>
        <w:t>recent Hepatology study connected HLA-DQB1*03:01 with HBV-related HCC risk and</w:t>
      </w:r>
    </w:p>
    <w:p>
      <w:r>
        <w:rPr>
          <w:rFonts w:ascii="Times New Roman" w:hAnsi="Times New Roman"/>
        </w:rPr>
        <w:t>reported lower predicted binding of HBV nucleocapsid peptides by</w:t>
      </w:r>
    </w:p>
    <w:p>
      <w:r>
        <w:rPr>
          <w:rFonts w:ascii="Times New Roman" w:hAnsi="Times New Roman"/>
        </w:rPr>
        <w:t>DQB1*03:01-containing HLA-DQ molecules [17]. That finding provided a</w:t>
      </w:r>
    </w:p>
    <w:p>
      <w:r>
        <w:rPr>
          <w:rFonts w:ascii="Times New Roman" w:hAnsi="Times New Roman"/>
        </w:rPr>
        <w:t>mechanistic clue, but it also raised an important public-data question: is the</w:t>
      </w:r>
    </w:p>
    <w:p>
      <w:r>
        <w:rPr>
          <w:rFonts w:ascii="Times New Roman" w:hAnsi="Times New Roman"/>
        </w:rPr>
        <w:t>predicted core/nucleocapsid presentation gap stable across naturally occurring</w:t>
      </w:r>
    </w:p>
    <w:p>
      <w:r>
        <w:rPr>
          <w:rFonts w:ascii="Times New Roman" w:hAnsi="Times New Roman"/>
        </w:rPr>
        <w:t>HBV genotype B/C sequence diversity?</w:t>
      </w:r>
    </w:p>
    <w:p>
      <w:r>
        <w:rPr>
          <w:rFonts w:ascii="Times New Roman" w:hAnsi="Times New Roman"/>
        </w:rPr>
        <w:t>This question matters because HBV genotype B and genotype C predominate in many</w:t>
      </w:r>
    </w:p>
    <w:p>
      <w:r>
        <w:rPr>
          <w:rFonts w:ascii="Times New Roman" w:hAnsi="Times New Roman"/>
        </w:rPr>
        <w:t>East Asian HBV-HCC settings, and genotype C, precore/core variation, and viral</w:t>
      </w:r>
    </w:p>
    <w:p>
      <w:r>
        <w:rPr>
          <w:rFonts w:ascii="Times New Roman" w:hAnsi="Times New Roman"/>
        </w:rPr>
        <w:t>mutation profiles have been associated with liver-disease severity and HCC risk</w:t>
      </w:r>
    </w:p>
    <w:p>
      <w:r>
        <w:rPr>
          <w:rFonts w:ascii="Times New Roman" w:hAnsi="Times New Roman"/>
        </w:rPr>
        <w:t>[8-16,69,70]. A reference-sequence binding deficit could be biologically</w:t>
      </w:r>
    </w:p>
    <w:p>
      <w:r>
        <w:rPr>
          <w:rFonts w:ascii="Times New Roman" w:hAnsi="Times New Roman"/>
        </w:rPr>
        <w:t>meaningful, but viral sequence diversity could also weaken, erase, or reverse</w:t>
      </w:r>
    </w:p>
    <w:p>
      <w:r>
        <w:rPr>
          <w:rFonts w:ascii="Times New Roman" w:hAnsi="Times New Roman"/>
        </w:rPr>
        <w:t>the signal. Public GenBank HBV genomes therefore provide an opportunity to test</w:t>
      </w:r>
    </w:p>
    <w:p>
      <w:r>
        <w:rPr>
          <w:rFonts w:ascii="Times New Roman" w:hAnsi="Times New Roman"/>
        </w:rPr>
        <w:t>whether a DQB1*03:01-associated core presentation gap is preserved across real</w:t>
      </w:r>
    </w:p>
    <w:p>
      <w:r>
        <w:rPr>
          <w:rFonts w:ascii="Times New Roman" w:hAnsi="Times New Roman"/>
        </w:rPr>
        <w:t>viral diversity, even though the viral sequences are not paired with host HLA</w:t>
      </w:r>
    </w:p>
    <w:p>
      <w:r>
        <w:rPr>
          <w:rFonts w:ascii="Times New Roman" w:hAnsi="Times New Roman"/>
        </w:rPr>
        <w:t>genotypes [66-68].</w:t>
      </w:r>
    </w:p>
    <w:p>
      <w:r>
        <w:rPr>
          <w:rFonts w:ascii="Times New Roman" w:hAnsi="Times New Roman"/>
        </w:rPr>
        <w:t>The initial analysis evaluated a narrower mutation-loss model: whether reported</w:t>
      </w:r>
    </w:p>
    <w:p>
      <w:r>
        <w:rPr>
          <w:rFonts w:ascii="Times New Roman" w:hAnsi="Times New Roman"/>
        </w:rPr>
        <w:t>HCC-associated HBV coding mutations commonly create DQB1*03:01-specific</w:t>
      </w:r>
    </w:p>
    <w:p>
      <w:r>
        <w:rPr>
          <w:rFonts w:ascii="Times New Roman" w:hAnsi="Times New Roman"/>
        </w:rPr>
        <w:t>binder-to-non-binder loss [8-16,70]. Exploratory HBx and PreS/S hotspot</w:t>
      </w:r>
    </w:p>
    <w:p>
      <w:r>
        <w:rPr>
          <w:rFonts w:ascii="Times New Roman" w:hAnsi="Times New Roman"/>
        </w:rPr>
        <w:t>analyses did not support that model as a main result. The study was therefore</w:t>
      </w:r>
    </w:p>
    <w:p>
      <w:r>
        <w:rPr>
          <w:rFonts w:ascii="Times New Roman" w:hAnsi="Times New Roman"/>
        </w:rPr>
        <w:t>revised around the stronger and more defensible public-data question: whether</w:t>
      </w:r>
    </w:p>
    <w:p>
      <w:r>
        <w:rPr>
          <w:rFonts w:ascii="Times New Roman" w:hAnsi="Times New Roman"/>
        </w:rPr>
        <w:t>global public HBV genotype B/C core diversity preserves a</w:t>
      </w:r>
    </w:p>
    <w:p>
      <w:r>
        <w:rPr>
          <w:rFonts w:ascii="Times New Roman" w:hAnsi="Times New Roman"/>
        </w:rPr>
        <w:t>DQB1*03:01-associated class-II presentation gap. The workflow combines public</w:t>
      </w:r>
    </w:p>
    <w:p>
      <w:r>
        <w:rPr>
          <w:rFonts w:ascii="Times New Roman" w:hAnsi="Times New Roman"/>
        </w:rPr>
        <w:t>HBV sequence retrieval, HLA-DQ heterodimer MHC-II prediction, expanded HLA-DQ panel</w:t>
      </w:r>
    </w:p>
    <w:p>
      <w:r>
        <w:rPr>
          <w:rFonts w:ascii="Times New Roman" w:hAnsi="Times New Roman"/>
        </w:rPr>
        <w:t>comparison, de-redundancy, stratified sensitivity analysis, IEDB T-cell epitope</w:t>
      </w:r>
    </w:p>
    <w:p>
      <w:r>
        <w:rPr>
          <w:rFonts w:ascii="Times New Roman" w:hAnsi="Times New Roman"/>
        </w:rPr>
        <w:t>overlap, and reference-proteome controls [49-68].</w:t>
      </w:r>
    </w:p>
    <w:p>
      <w:pPr>
        <w:pStyle w:val="Heading1"/>
      </w:pPr>
      <w:r>
        <w:t>2. Materials and Methods</w:t>
      </w:r>
    </w:p>
    <w:p>
      <w:pPr>
        <w:pStyle w:val="Heading2"/>
      </w:pPr>
      <w:r>
        <w:t>2.1. Literature and Novelty Review</w:t>
      </w:r>
    </w:p>
    <w:p>
      <w:r>
        <w:rPr>
          <w:rFonts w:ascii="Times New Roman" w:hAnsi="Times New Roman"/>
        </w:rPr>
        <w:t xml:space="preserve">PubMed was queried on 2026-04-30 using combinations of </w:t>
      </w:r>
      <w:r>
        <w:rPr>
          <w:rFonts w:ascii="Courier New" w:hAnsi="Courier New"/>
          <w:sz w:val="18"/>
        </w:rPr>
        <w:t>DQB1*03:01</w:t>
      </w:r>
      <w:r>
        <w:rPr>
          <w:rFonts w:ascii="Times New Roman" w:hAnsi="Times New Roman"/>
        </w:rPr>
        <w:t>,</w:t>
      </w:r>
    </w:p>
    <w:p>
      <w:r>
        <w:rPr>
          <w:rFonts w:ascii="Courier New" w:hAnsi="Courier New"/>
          <w:sz w:val="18"/>
        </w:rPr>
        <w:t>HLA-DQB1</w:t>
      </w:r>
      <w:r>
        <w:rPr>
          <w:rFonts w:ascii="Times New Roman" w:hAnsi="Times New Roman"/>
        </w:rPr>
        <w:t xml:space="preserve">, </w:t>
      </w:r>
      <w:r>
        <w:rPr>
          <w:rFonts w:ascii="Courier New" w:hAnsi="Courier New"/>
          <w:sz w:val="18"/>
        </w:rPr>
        <w:t>HBV</w:t>
      </w:r>
      <w:r>
        <w:rPr>
          <w:rFonts w:ascii="Times New Roman" w:hAnsi="Times New Roman"/>
        </w:rPr>
        <w:t xml:space="preserve">, </w:t>
      </w:r>
      <w:r>
        <w:rPr>
          <w:rFonts w:ascii="Courier New" w:hAnsi="Courier New"/>
          <w:sz w:val="18"/>
        </w:rPr>
        <w:t>hepatitis B</w:t>
      </w:r>
      <w:r>
        <w:rPr>
          <w:rFonts w:ascii="Times New Roman" w:hAnsi="Times New Roman"/>
        </w:rPr>
        <w:t xml:space="preserve">, </w:t>
      </w:r>
      <w:r>
        <w:rPr>
          <w:rFonts w:ascii="Courier New" w:hAnsi="Courier New"/>
          <w:sz w:val="18"/>
        </w:rPr>
        <w:t>HCC</w:t>
      </w:r>
      <w:r>
        <w:rPr>
          <w:rFonts w:ascii="Times New Roman" w:hAnsi="Times New Roman"/>
        </w:rPr>
        <w:t xml:space="preserve">, </w:t>
      </w:r>
      <w:r>
        <w:rPr>
          <w:rFonts w:ascii="Courier New" w:hAnsi="Courier New"/>
          <w:sz w:val="18"/>
        </w:rPr>
        <w:t>nucleocapsid</w:t>
      </w:r>
      <w:r>
        <w:rPr>
          <w:rFonts w:ascii="Times New Roman" w:hAnsi="Times New Roman"/>
        </w:rPr>
        <w:t xml:space="preserve">, </w:t>
      </w:r>
      <w:r>
        <w:rPr>
          <w:rFonts w:ascii="Courier New" w:hAnsi="Courier New"/>
          <w:sz w:val="18"/>
        </w:rPr>
        <w:t>NetMHCIIpan</w:t>
      </w:r>
      <w:r>
        <w:rPr>
          <w:rFonts w:ascii="Times New Roman" w:hAnsi="Times New Roman"/>
        </w:rPr>
        <w:t>,</w:t>
      </w:r>
    </w:p>
    <w:p>
      <w:r>
        <w:rPr>
          <w:rFonts w:ascii="Courier New" w:hAnsi="Courier New"/>
          <w:sz w:val="18"/>
        </w:rPr>
        <w:t>peptide</w:t>
      </w:r>
      <w:r>
        <w:rPr>
          <w:rFonts w:ascii="Times New Roman" w:hAnsi="Times New Roman"/>
        </w:rPr>
        <w:t xml:space="preserve">, </w:t>
      </w:r>
      <w:r>
        <w:rPr>
          <w:rFonts w:ascii="Courier New" w:hAnsi="Courier New"/>
          <w:sz w:val="18"/>
        </w:rPr>
        <w:t>epitope</w:t>
      </w:r>
      <w:r>
        <w:rPr>
          <w:rFonts w:ascii="Times New Roman" w:hAnsi="Times New Roman"/>
        </w:rPr>
        <w:t xml:space="preserve">, and </w:t>
      </w:r>
      <w:r>
        <w:rPr>
          <w:rFonts w:ascii="Courier New" w:hAnsi="Courier New"/>
          <w:sz w:val="18"/>
        </w:rPr>
        <w:t>HLA-DQ</w:t>
      </w:r>
      <w:r>
        <w:rPr>
          <w:rFonts w:ascii="Times New Roman" w:hAnsi="Times New Roman"/>
        </w:rPr>
        <w:t>. The search identified related HBV-HLA-HCC</w:t>
      </w:r>
    </w:p>
    <w:p>
      <w:r>
        <w:rPr>
          <w:rFonts w:ascii="Times New Roman" w:hAnsi="Times New Roman"/>
        </w:rPr>
        <w:t>association studies, HBV mutation interaction studies, host-pathogen genomic</w:t>
      </w:r>
    </w:p>
    <w:p>
      <w:r>
        <w:rPr>
          <w:rFonts w:ascii="Times New Roman" w:hAnsi="Times New Roman"/>
        </w:rPr>
        <w:t>studies, and HBV HLA peptide-prediction studies [14-18,49-51], but no</w:t>
      </w:r>
    </w:p>
    <w:p>
      <w:r>
        <w:rPr>
          <w:rFonts w:ascii="Times New Roman" w:hAnsi="Times New Roman"/>
        </w:rPr>
        <w:t>PubMed-indexed study combining DQB1*03:01-focused HLA-DQ heterodimer</w:t>
      </w:r>
    </w:p>
    <w:p>
      <w:r>
        <w:rPr>
          <w:rFonts w:ascii="Times New Roman" w:hAnsi="Times New Roman"/>
        </w:rPr>
        <w:t>prediction, public HBV genotype B/C core diversity, core-position gap analysis,</w:t>
      </w:r>
    </w:p>
    <w:p>
      <w:r>
        <w:rPr>
          <w:rFonts w:ascii="Times New Roman" w:hAnsi="Times New Roman"/>
        </w:rPr>
        <w:t>and IEDB epitope overlap into a quantified DQB1*03:01-associated</w:t>
      </w:r>
    </w:p>
    <w:p>
      <w:r>
        <w:rPr>
          <w:rFonts w:ascii="Times New Roman" w:hAnsi="Times New Roman"/>
        </w:rPr>
        <w:t>presentation-gap framework.</w:t>
      </w:r>
    </w:p>
    <w:p>
      <w:pPr>
        <w:pStyle w:val="Heading2"/>
      </w:pPr>
      <w:r>
        <w:t>2.2. Public HBV Sequence Retrieval and Quality Control</w:t>
      </w:r>
    </w:p>
    <w:p>
      <w:r>
        <w:rPr>
          <w:rFonts w:ascii="Times New Roman" w:hAnsi="Times New Roman"/>
        </w:rPr>
        <w:t>NCBI nucleotide E-utilities were used to retrieve public complete-genome HBV</w:t>
      </w:r>
    </w:p>
    <w:p>
      <w:r>
        <w:rPr>
          <w:rFonts w:ascii="Times New Roman" w:hAnsi="Times New Roman"/>
        </w:rPr>
        <w:t>GenBank records annotated as genotype B or genotype C [66-69]. The full query</w:t>
      </w:r>
    </w:p>
    <w:p>
      <w:r>
        <w:rPr>
          <w:rFonts w:ascii="Times New Roman" w:hAnsi="Times New Roman"/>
        </w:rPr>
        <w:t>retrieved 3784 candidate records. GenBank CDS annotations were parsed to</w:t>
      </w:r>
    </w:p>
    <w:p>
      <w:r>
        <w:rPr>
          <w:rFonts w:ascii="Times New Roman" w:hAnsi="Times New Roman"/>
        </w:rPr>
        <w:t>extract core protein translations.</w:t>
      </w:r>
    </w:p>
    <w:p>
      <w:r>
        <w:rPr>
          <w:rFonts w:ascii="Times New Roman" w:hAnsi="Times New Roman"/>
        </w:rPr>
        <w:t>Records were excluded if they lacked a usable core CDS translation, contained</w:t>
      </w:r>
    </w:p>
    <w:p>
      <w:r>
        <w:rPr>
          <w:rFonts w:ascii="Times New Roman" w:hAnsi="Times New Roman"/>
        </w:rPr>
        <w:t>recombinant annotations in the definition or feature notes, had core length</w:t>
      </w:r>
    </w:p>
    <w:p>
      <w:r>
        <w:rPr>
          <w:rFonts w:ascii="Times New Roman" w:hAnsi="Times New Roman"/>
        </w:rPr>
        <w:t>outside 170-190 amino acids, contained non-standard amino-acid characters, or</w:t>
      </w:r>
    </w:p>
    <w:p>
      <w:r>
        <w:rPr>
          <w:rFonts w:ascii="Times New Roman" w:hAnsi="Times New Roman"/>
        </w:rPr>
        <w:t>lacked a genotype B/C query label. The final quality-controlled set contained</w:t>
      </w:r>
    </w:p>
    <w:p>
      <w:r>
        <w:rPr>
          <w:rFonts w:ascii="Times New Roman" w:hAnsi="Times New Roman"/>
        </w:rPr>
        <w:t>1576 genotype-labeled records, corresponding to 1538 unique accession</w:t>
      </w:r>
    </w:p>
    <w:p>
      <w:r>
        <w:rPr>
          <w:rFonts w:ascii="Times New Roman" w:hAnsi="Times New Roman"/>
        </w:rPr>
        <w:t>identifiers. The QC-passed set included 633 genotype B query records and 943</w:t>
      </w:r>
    </w:p>
    <w:p>
      <w:r>
        <w:rPr>
          <w:rFonts w:ascii="Times New Roman" w:hAnsi="Times New Roman"/>
        </w:rPr>
        <w:t>genotype C query records.</w:t>
      </w:r>
    </w:p>
    <w:p>
      <w:pPr>
        <w:pStyle w:val="Heading2"/>
      </w:pPr>
      <w:r>
        <w:t>2.3. Core Peptide Generation</w:t>
      </w:r>
    </w:p>
    <w:p>
      <w:r>
        <w:rPr>
          <w:rFonts w:ascii="Times New Roman" w:hAnsi="Times New Roman"/>
        </w:rPr>
        <w:t>For each quality-controlled core protein, all overlapping 15-mer peptides were</w:t>
      </w:r>
    </w:p>
    <w:p>
      <w:r>
        <w:rPr>
          <w:rFonts w:ascii="Times New Roman" w:hAnsi="Times New Roman"/>
        </w:rPr>
        <w:t>generated. Peptides were collapsed by peptide sequence and core window start</w:t>
      </w:r>
    </w:p>
    <w:p>
      <w:r>
        <w:rPr>
          <w:rFonts w:ascii="Times New Roman" w:hAnsi="Times New Roman"/>
        </w:rPr>
        <w:t>position. The final public-diversity analysis included 11176 unique core 15-mer</w:t>
      </w:r>
    </w:p>
    <w:p>
      <w:r>
        <w:rPr>
          <w:rFonts w:ascii="Times New Roman" w:hAnsi="Times New Roman"/>
        </w:rPr>
        <w:t>windows and 259916 occurrence-weighted windows.</w:t>
      </w:r>
    </w:p>
    <w:p>
      <w:pPr>
        <w:pStyle w:val="Heading2"/>
      </w:pPr>
      <w:r>
        <w:t>2.4. HLA-DQ Panel</w:t>
      </w:r>
    </w:p>
    <w:p>
      <w:r>
        <w:rPr>
          <w:rFonts w:ascii="Times New Roman" w:hAnsi="Times New Roman"/>
        </w:rPr>
        <w:t>Seven HLA-DQ heterodimers were evaluated:</w:t>
      </w:r>
    </w:p>
    <w:p>
      <w:pPr>
        <w:pStyle w:val="ListBullet"/>
      </w:pPr>
      <w:r>
        <w:rPr>
          <w:rFonts w:ascii="Times New Roman" w:hAnsi="Times New Roman"/>
        </w:rPr>
        <w:t>DQA1*05:08/DQB1*03:01</w:t>
      </w:r>
    </w:p>
    <w:p>
      <w:pPr>
        <w:pStyle w:val="ListBullet"/>
      </w:pPr>
      <w:r>
        <w:rPr>
          <w:rFonts w:ascii="Times New Roman" w:hAnsi="Times New Roman"/>
        </w:rPr>
        <w:t>DQA1*06:01/DQB1*03:01</w:t>
      </w:r>
    </w:p>
    <w:p>
      <w:pPr>
        <w:pStyle w:val="ListBullet"/>
      </w:pPr>
      <w:r>
        <w:rPr>
          <w:rFonts w:ascii="Times New Roman" w:hAnsi="Times New Roman"/>
        </w:rPr>
        <w:t>DQA1*03:01/DQB1*03:02</w:t>
      </w:r>
    </w:p>
    <w:p>
      <w:pPr>
        <w:pStyle w:val="ListBullet"/>
      </w:pPr>
      <w:r>
        <w:rPr>
          <w:rFonts w:ascii="Times New Roman" w:hAnsi="Times New Roman"/>
        </w:rPr>
        <w:t>DQA1*01:02/DQB1*06:02</w:t>
      </w:r>
    </w:p>
    <w:p>
      <w:pPr>
        <w:pStyle w:val="ListBullet"/>
      </w:pPr>
      <w:r>
        <w:rPr>
          <w:rFonts w:ascii="Times New Roman" w:hAnsi="Times New Roman"/>
        </w:rPr>
        <w:t>DQA1*01:01/DQB1*05:01</w:t>
      </w:r>
    </w:p>
    <w:p>
      <w:pPr>
        <w:pStyle w:val="ListBullet"/>
      </w:pPr>
      <w:r>
        <w:rPr>
          <w:rFonts w:ascii="Times New Roman" w:hAnsi="Times New Roman"/>
        </w:rPr>
        <w:t>DQA1*03:03/DQB1*04:01</w:t>
      </w:r>
    </w:p>
    <w:p>
      <w:pPr>
        <w:pStyle w:val="ListBullet"/>
      </w:pPr>
      <w:r>
        <w:rPr>
          <w:rFonts w:ascii="Times New Roman" w:hAnsi="Times New Roman"/>
        </w:rPr>
        <w:t>DQA1*05:01/DQB1*02:01</w:t>
      </w:r>
    </w:p>
    <w:p>
      <w:r>
        <w:rPr>
          <w:rFonts w:ascii="Times New Roman" w:hAnsi="Times New Roman"/>
        </w:rPr>
        <w:t>The first two were treated as DQB1*03:01-containing risk heterodimers based on</w:t>
      </w:r>
    </w:p>
    <w:p>
      <w:r>
        <w:rPr>
          <w:rFonts w:ascii="Times New Roman" w:hAnsi="Times New Roman"/>
        </w:rPr>
        <w:t>the motivating DQB1*03:01-HBV-HCC literature. DQA1*03:01/DQB1*03:02 was used as</w:t>
      </w:r>
    </w:p>
    <w:p>
      <w:r>
        <w:rPr>
          <w:rFonts w:ascii="Times New Roman" w:hAnsi="Times New Roman"/>
        </w:rPr>
        <w:t>the primary DQB1*03:02 comparator. Additional HLA-DQ heterodimers were included</w:t>
      </w:r>
    </w:p>
    <w:p>
      <w:r>
        <w:rPr>
          <w:rFonts w:ascii="Times New Roman" w:hAnsi="Times New Roman"/>
        </w:rPr>
        <w:t>to test whether the signal was specific to DQB1*03:01-containing pairs rather</w:t>
      </w:r>
    </w:p>
    <w:p>
      <w:r>
        <w:rPr>
          <w:rFonts w:ascii="Times New Roman" w:hAnsi="Times New Roman"/>
        </w:rPr>
        <w:t>than a generic feature of HLA-DQ prediction.</w:t>
      </w:r>
    </w:p>
    <w:p>
      <w:pPr>
        <w:pStyle w:val="Heading2"/>
      </w:pPr>
      <w:r>
        <w:t>2.5. MHC-II Binding Prediction</w:t>
      </w:r>
    </w:p>
    <w:p>
      <w:r>
        <w:rPr>
          <w:rFonts w:ascii="Times New Roman" w:hAnsi="Times New Roman"/>
        </w:rPr>
        <w:t>MHC-II binding predictions were generated through the IEDB MHC-II prediction API</w:t>
      </w:r>
    </w:p>
    <w:p>
      <w:r>
        <w:rPr>
          <w:rFonts w:ascii="Times New Roman" w:hAnsi="Times New Roman"/>
        </w:rPr>
        <w:t>using NetMHCIIpan [52-65]. Percentile rank &lt;10 was defined as predicted</w:t>
      </w:r>
    </w:p>
    <w:p>
      <w:r>
        <w:rPr>
          <w:rFonts w:ascii="Times New Roman" w:hAnsi="Times New Roman"/>
        </w:rPr>
        <w:t>binding, and rank &lt;2 was defined as strong predicted binding. As a method</w:t>
      </w:r>
    </w:p>
    <w:p>
      <w:r>
        <w:rPr>
          <w:rFonts w:ascii="Times New Roman" w:hAnsi="Times New Roman"/>
        </w:rPr>
        <w:t>sensitivity check, the IEDB recommended method was also run for the primary</w:t>
      </w:r>
    </w:p>
    <w:p>
      <w:r>
        <w:rPr>
          <w:rFonts w:ascii="Times New Roman" w:hAnsi="Times New Roman"/>
        </w:rPr>
        <w:t>three HLA-DQ heterodimers: DQA1*03:01/DQB1*03:02,</w:t>
      </w:r>
    </w:p>
    <w:p>
      <w:r>
        <w:rPr>
          <w:rFonts w:ascii="Times New Roman" w:hAnsi="Times New Roman"/>
        </w:rPr>
        <w:t>DQA1*05:08/DQB1*03:01, and DQA1*06:01/DQB1*03:01.</w:t>
      </w:r>
    </w:p>
    <w:p>
      <w:pPr>
        <w:pStyle w:val="Heading2"/>
      </w:pPr>
      <w:r>
        <w:t>2.6. Statistical Analysis</w:t>
      </w:r>
    </w:p>
    <w:p>
      <w:r>
        <w:rPr>
          <w:rFonts w:ascii="Times New Roman" w:hAnsi="Times New Roman"/>
        </w:rPr>
        <w:t>Binder counts were summarized using both unique peptide counts and</w:t>
      </w:r>
    </w:p>
    <w:p>
      <w:r>
        <w:rPr>
          <w:rFonts w:ascii="Times New Roman" w:hAnsi="Times New Roman"/>
        </w:rPr>
        <w:t>occurrence-weighted counts. Pairwise comparisons between the DQB1*03:02</w:t>
      </w:r>
    </w:p>
    <w:p>
      <w:r>
        <w:rPr>
          <w:rFonts w:ascii="Times New Roman" w:hAnsi="Times New Roman"/>
        </w:rPr>
        <w:t>comparator and other heterodimers used Fisher exact tests. P values that</w:t>
      </w:r>
    </w:p>
    <w:p>
      <w:r>
        <w:rPr>
          <w:rFonts w:ascii="Times New Roman" w:hAnsi="Times New Roman"/>
        </w:rPr>
        <w:t>underflowed to zero in SciPy are reported as P &lt; 1e-300. Occurrence-weighted</w:t>
      </w:r>
    </w:p>
    <w:p>
      <w:r>
        <w:rPr>
          <w:rFonts w:ascii="Times New Roman" w:hAnsi="Times New Roman"/>
        </w:rPr>
        <w:t>rates were also calculated within genotype, region, country, and collection-year</w:t>
      </w:r>
    </w:p>
    <w:p>
      <w:r>
        <w:rPr>
          <w:rFonts w:ascii="Times New Roman" w:hAnsi="Times New Roman"/>
        </w:rPr>
        <w:t>strata when metadata were available.</w:t>
      </w:r>
    </w:p>
    <w:p>
      <w:pPr>
        <w:pStyle w:val="Heading2"/>
      </w:pPr>
      <w:r>
        <w:t>2.7. Sequence De-Redundancy and Bootstrap Analysis</w:t>
      </w:r>
    </w:p>
    <w:p>
      <w:r>
        <w:rPr>
          <w:rFonts w:ascii="Times New Roman" w:hAnsi="Times New Roman"/>
        </w:rPr>
        <w:t>To assess sensitivity to public database redundancy, three de-redundant record</w:t>
      </w:r>
    </w:p>
    <w:p>
      <w:r>
        <w:rPr>
          <w:rFonts w:ascii="Times New Roman" w:hAnsi="Times New Roman"/>
        </w:rPr>
        <w:t>sets were created: exact core protein de-duplication, greedy 99% identity</w:t>
      </w:r>
    </w:p>
    <w:p>
      <w:r>
        <w:rPr>
          <w:rFonts w:ascii="Times New Roman" w:hAnsi="Times New Roman"/>
        </w:rPr>
        <w:t>de-redundancy, and greedy 95% identity de-redundancy. Occurrence-weighted HLA-DQ</w:t>
      </w:r>
    </w:p>
    <w:p>
      <w:r>
        <w:rPr>
          <w:rFonts w:ascii="Times New Roman" w:hAnsi="Times New Roman"/>
        </w:rPr>
        <w:t>binder rates were recomputed in each set without rerunning MHC-II prediction,</w:t>
      </w:r>
    </w:p>
    <w:p>
      <w:r>
        <w:rPr>
          <w:rFonts w:ascii="Times New Roman" w:hAnsi="Times New Roman"/>
        </w:rPr>
        <w:t>using accession-level source mappings.</w:t>
      </w:r>
    </w:p>
    <w:p>
      <w:r>
        <w:rPr>
          <w:rFonts w:ascii="Times New Roman" w:hAnsi="Times New Roman"/>
        </w:rPr>
        <w:t>Record-level bootstrap analysis used 1000 resamples of quality-controlled</w:t>
      </w:r>
    </w:p>
    <w:p>
      <w:r>
        <w:rPr>
          <w:rFonts w:ascii="Times New Roman" w:hAnsi="Times New Roman"/>
        </w:rPr>
        <w:t>records with replacement. Binder-rate confidence intervals, rate differences,</w:t>
      </w:r>
    </w:p>
    <w:p>
      <w:r>
        <w:rPr>
          <w:rFonts w:ascii="Times New Roman" w:hAnsi="Times New Roman"/>
        </w:rPr>
        <w:t>and rate ratios were calculated from accession-level totals.</w:t>
      </w:r>
    </w:p>
    <w:p>
      <w:pPr>
        <w:pStyle w:val="Heading2"/>
      </w:pPr>
      <w:r>
        <w:t>2.8. Core-Position Gap Analysis</w:t>
      </w:r>
    </w:p>
    <w:p>
      <w:r>
        <w:rPr>
          <w:rFonts w:ascii="Times New Roman" w:hAnsi="Times New Roman"/>
        </w:rPr>
        <w:t>For each HBV core 15-mer window start, occurrence-weighted binder rates were</w:t>
      </w:r>
    </w:p>
    <w:p>
      <w:r>
        <w:rPr>
          <w:rFonts w:ascii="Times New Roman" w:hAnsi="Times New Roman"/>
        </w:rPr>
        <w:t>summarized for the DQB1*03:02 comparator and the combined DQB1*03:01 risk pairs.</w:t>
      </w:r>
    </w:p>
    <w:p>
      <w:r>
        <w:rPr>
          <w:rFonts w:ascii="Times New Roman" w:hAnsi="Times New Roman"/>
        </w:rPr>
        <w:t>A position-level gap was defined as the DQB1*03:02 occurrence-weighted binder</w:t>
      </w:r>
    </w:p>
    <w:p>
      <w:r>
        <w:rPr>
          <w:rFonts w:ascii="Times New Roman" w:hAnsi="Times New Roman"/>
        </w:rPr>
        <w:t>rate minus the combined DQB1*03:01 risk-pair occurrence-weighted binder rate.</w:t>
      </w:r>
    </w:p>
    <w:p>
      <w:r>
        <w:rPr>
          <w:rFonts w:ascii="Times New Roman" w:hAnsi="Times New Roman"/>
        </w:rPr>
        <w:t>Top gap windows were ranked by this difference.</w:t>
      </w:r>
    </w:p>
    <w:p>
      <w:pPr>
        <w:pStyle w:val="Heading2"/>
      </w:pPr>
      <w:r>
        <w:t>2.9. IEDB Human HBV T-Cell Epitope Overlap</w:t>
      </w:r>
    </w:p>
    <w:p>
      <w:r>
        <w:rPr>
          <w:rFonts w:ascii="Times New Roman" w:hAnsi="Times New Roman"/>
        </w:rPr>
        <w:t>The IEDB query API was used to retrieve positive human T-cell assay records for</w:t>
      </w:r>
    </w:p>
    <w:p>
      <w:r>
        <w:rPr>
          <w:rFonts w:ascii="Times New Roman" w:hAnsi="Times New Roman"/>
        </w:rPr>
        <w:t>HBV (</w:t>
      </w:r>
      <w:r>
        <w:rPr>
          <w:rFonts w:ascii="Courier New" w:hAnsi="Courier New"/>
          <w:sz w:val="18"/>
        </w:rPr>
        <w:t>NCBITaxon:10407</w:t>
      </w:r>
      <w:r>
        <w:rPr>
          <w:rFonts w:ascii="Times New Roman" w:hAnsi="Times New Roman"/>
        </w:rPr>
        <w:t>) [52-56]. Retrieved linear epitopes were normalized by</w:t>
      </w:r>
    </w:p>
    <w:p>
      <w:r>
        <w:rPr>
          <w:rFonts w:ascii="Times New Roman" w:hAnsi="Times New Roman"/>
        </w:rPr>
        <w:t>sequence, source antigen, source position, and MHC class. Core/nucleocapsid</w:t>
      </w:r>
    </w:p>
    <w:p>
      <w:r>
        <w:rPr>
          <w:rFonts w:ascii="Times New Roman" w:hAnsi="Times New Roman"/>
        </w:rPr>
        <w:t>epitopes were identified from curated antigen names and parent antigen names</w:t>
      </w:r>
    </w:p>
    <w:p>
      <w:r>
        <w:rPr>
          <w:rFonts w:ascii="Times New Roman" w:hAnsi="Times New Roman"/>
        </w:rPr>
        <w:t xml:space="preserve">containing </w:t>
      </w:r>
      <w:r>
        <w:rPr>
          <w:rFonts w:ascii="Courier New" w:hAnsi="Courier New"/>
          <w:sz w:val="18"/>
        </w:rPr>
        <w:t>core</w:t>
      </w:r>
      <w:r>
        <w:rPr>
          <w:rFonts w:ascii="Times New Roman" w:hAnsi="Times New Roman"/>
        </w:rPr>
        <w:t xml:space="preserve"> or </w:t>
      </w:r>
      <w:r>
        <w:rPr>
          <w:rFonts w:ascii="Courier New" w:hAnsi="Courier New"/>
          <w:sz w:val="18"/>
        </w:rPr>
        <w:t>nucleocapsid</w:t>
      </w:r>
      <w:r>
        <w:rPr>
          <w:rFonts w:ascii="Times New Roman" w:hAnsi="Times New Roman"/>
        </w:rPr>
        <w:t>. Predicted core 15-mers were considered</w:t>
      </w:r>
    </w:p>
    <w:p>
      <w:r>
        <w:rPr>
          <w:rFonts w:ascii="Times New Roman" w:hAnsi="Times New Roman"/>
        </w:rPr>
        <w:t>overlapping if the predicted peptide contained the known epitope sequence or</w:t>
      </w:r>
    </w:p>
    <w:p>
      <w:r>
        <w:rPr>
          <w:rFonts w:ascii="Times New Roman" w:hAnsi="Times New Roman"/>
        </w:rPr>
        <w:t>was contained within the known epitope sequence. Overlap was summarized for all</w:t>
      </w:r>
    </w:p>
    <w:p>
      <w:r>
        <w:rPr>
          <w:rFonts w:ascii="Times New Roman" w:hAnsi="Times New Roman"/>
        </w:rPr>
        <w:t>known human core/nucleocapsid T-cell epitopes and separately for known MHC-II</w:t>
      </w:r>
    </w:p>
    <w:p>
      <w:r>
        <w:rPr>
          <w:rFonts w:ascii="Times New Roman" w:hAnsi="Times New Roman"/>
        </w:rPr>
        <w:t>core/nucleocapsid epitopes.</w:t>
      </w:r>
    </w:p>
    <w:p>
      <w:pPr>
        <w:pStyle w:val="Heading2"/>
      </w:pPr>
      <w:r>
        <w:t>2.10. Reference HBV Proteome Control</w:t>
      </w:r>
    </w:p>
    <w:p>
      <w:r>
        <w:rPr>
          <w:rFonts w:ascii="Times New Roman" w:hAnsi="Times New Roman"/>
        </w:rPr>
        <w:t>To test whether the DQB1*03:01 gap was core-specific rather than a global HBV</w:t>
      </w:r>
    </w:p>
    <w:p>
      <w:r>
        <w:rPr>
          <w:rFonts w:ascii="Times New Roman" w:hAnsi="Times New Roman"/>
        </w:rPr>
        <w:t>protein effect, the reference HBV genome NC_003977.2 was parsed for</w:t>
      </w:r>
    </w:p>
    <w:p>
      <w:r>
        <w:rPr>
          <w:rFonts w:ascii="Times New Roman" w:hAnsi="Times New Roman"/>
        </w:rPr>
        <w:t>polymerase, large envelope, X protein, and capsid/core translations [66-69].</w:t>
      </w:r>
    </w:p>
    <w:p>
      <w:r>
        <w:rPr>
          <w:rFonts w:ascii="Times New Roman" w:hAnsi="Times New Roman"/>
        </w:rPr>
        <w:t>Overlapping 15-mers were generated for each protein and predicted against the</w:t>
      </w:r>
    </w:p>
    <w:p>
      <w:r>
        <w:rPr>
          <w:rFonts w:ascii="Times New Roman" w:hAnsi="Times New Roman"/>
        </w:rPr>
        <w:t>same seven HLA-DQ heterodimers using IEDB NetMHCIIpan [57-65].</w:t>
      </w:r>
    </w:p>
    <w:p>
      <w:pPr>
        <w:pStyle w:val="Heading1"/>
      </w:pPr>
      <w:r>
        <w:t>3. Results</w:t>
      </w:r>
    </w:p>
    <w:p>
      <w:pPr>
        <w:pStyle w:val="Heading2"/>
      </w:pPr>
      <w:r>
        <w:t>3.1. Public Genotype B/C Core Diversity Generated 11176 Unique Core Peptide Windows</w:t>
      </w:r>
    </w:p>
    <w:p>
      <w:r>
        <w:rPr>
          <w:rFonts w:ascii="Times New Roman" w:hAnsi="Times New Roman"/>
        </w:rPr>
        <w:t>The full public GenBank retrieval produced 3784 candidate complete-genome</w:t>
      </w:r>
    </w:p>
    <w:p>
      <w:r>
        <w:rPr>
          <w:rFonts w:ascii="Times New Roman" w:hAnsi="Times New Roman"/>
        </w:rPr>
        <w:t>records annotated as genotype B or C. After core CDS extraction and quality</w:t>
      </w:r>
    </w:p>
    <w:p>
      <w:r>
        <w:rPr>
          <w:rFonts w:ascii="Times New Roman" w:hAnsi="Times New Roman"/>
        </w:rPr>
        <w:t>control, 1576 genotype-labeled records remained, including 633 genotype B query</w:t>
      </w:r>
    </w:p>
    <w:p>
      <w:r>
        <w:rPr>
          <w:rFonts w:ascii="Times New Roman" w:hAnsi="Times New Roman"/>
        </w:rPr>
        <w:t>records and 943 genotype C query records. These records represented 1538 unique</w:t>
      </w:r>
    </w:p>
    <w:p>
      <w:r>
        <w:rPr>
          <w:rFonts w:ascii="Times New Roman" w:hAnsi="Times New Roman"/>
        </w:rPr>
        <w:t>accession identifiers and produced 11176 unique core 15-mer windows with 259916</w:t>
      </w:r>
    </w:p>
    <w:p>
      <w:r>
        <w:rPr>
          <w:rFonts w:ascii="Times New Roman" w:hAnsi="Times New Roman"/>
        </w:rPr>
        <w:t>occurrence-weighted windows.</w:t>
      </w:r>
    </w:p>
    <w:p>
      <w:r>
        <w:rPr>
          <w:rFonts w:ascii="Times New Roman" w:hAnsi="Times New Roman"/>
        </w:rPr>
        <w:t>Most QC-passed records had geographic metadata from East or Southeast Asia,</w:t>
      </w:r>
    </w:p>
    <w:p>
      <w:r>
        <w:rPr>
          <w:rFonts w:ascii="Times New Roman" w:hAnsi="Times New Roman"/>
        </w:rPr>
        <w:t>consistent with the genotype B/C focus, but the analysis also retained records</w:t>
      </w:r>
    </w:p>
    <w:p>
      <w:r>
        <w:rPr>
          <w:rFonts w:ascii="Times New Roman" w:hAnsi="Times New Roman"/>
        </w:rPr>
        <w:t>from other regions and from records with missing geographic annotation. This</w:t>
      </w:r>
    </w:p>
    <w:p>
      <w:r>
        <w:rPr>
          <w:rFonts w:ascii="Times New Roman" w:hAnsi="Times New Roman"/>
        </w:rPr>
        <w:t>dataset was substantially larger than the initial pilot set and replaced the</w:t>
      </w:r>
    </w:p>
    <w:p>
      <w:r>
        <w:rPr>
          <w:rFonts w:ascii="Times New Roman" w:hAnsi="Times New Roman"/>
        </w:rPr>
        <w:t>earlier 469-record analysis as the final submission version.</w:t>
      </w:r>
    </w:p>
    <w:p>
      <w:r>
        <w:rPr>
          <w:rFonts w:ascii="Times New Roman" w:hAnsi="Times New Roman"/>
        </w:rPr>
        <w:t>The public-data workflow, from NCBI sequence retrieval through the final</w:t>
      </w:r>
    </w:p>
    <w:p>
      <w:r>
        <w:rPr>
          <w:rFonts w:ascii="Times New Roman" w:hAnsi="Times New Roman"/>
        </w:rPr>
        <w:t>presentation-gap analysis, is summarized in the graphical abstract.</w:t>
      </w:r>
    </w:p>
    <w:p>
      <w:pPr>
        <w:pStyle w:val="Heading2"/>
      </w:pPr>
      <w:r>
        <w:t>3.2. DQB1*03:01-Containing HLA-DQ Heterodimers Were Outliers in an Expanded HLA-DQ Panel</w:t>
      </w:r>
    </w:p>
    <w:p>
      <w:r>
        <w:rPr>
          <w:rFonts w:ascii="Times New Roman" w:hAnsi="Times New Roman"/>
        </w:rPr>
        <w:t>Across seven HLA-DQ heterodimers, occurrence-weighted public-core binder rates</w:t>
      </w:r>
    </w:p>
    <w:p>
      <w:r>
        <w:rPr>
          <w:rFonts w:ascii="Times New Roman" w:hAnsi="Times New Roman"/>
        </w:rPr>
        <w:t>varied substantially. DQA1*01:01/DQB1*05:01 had the highest occurrence-weighted</w:t>
      </w:r>
    </w:p>
    <w:p>
      <w:r>
        <w:rPr>
          <w:rFonts w:ascii="Times New Roman" w:hAnsi="Times New Roman"/>
        </w:rPr>
        <w:t>binder rate (13.52%), followed by DQA1*03:01/DQB1*03:02 (10.52%),</w:t>
      </w:r>
    </w:p>
    <w:p>
      <w:r>
        <w:rPr>
          <w:rFonts w:ascii="Times New Roman" w:hAnsi="Times New Roman"/>
        </w:rPr>
        <w:t>DQA1*01:02/DQB1*06:02 (10.20%), DQA1*05:01/DQB1*02:01 (9.04%), and</w:t>
      </w:r>
    </w:p>
    <w:p>
      <w:r>
        <w:rPr>
          <w:rFonts w:ascii="Times New Roman" w:hAnsi="Times New Roman"/>
        </w:rPr>
        <w:t>DQA1*03:03/DQB1*04:01 (7.66%). In contrast, the two DQB1*03:01-containing</w:t>
      </w:r>
    </w:p>
    <w:p>
      <w:r>
        <w:rPr>
          <w:rFonts w:ascii="Times New Roman" w:hAnsi="Times New Roman"/>
        </w:rPr>
        <w:t>heterodimers had markedly lower occurrence-weighted rates:</w:t>
      </w:r>
    </w:p>
    <w:p>
      <w:r>
        <w:rPr>
          <w:rFonts w:ascii="Times New Roman" w:hAnsi="Times New Roman"/>
        </w:rPr>
        <w:t>DQA1*06:01/DQB1*03:01 bound 0.80% of windows and DQA1*05:08/DQB1*03:01 bound</w:t>
      </w:r>
    </w:p>
    <w:p>
      <w:r>
        <w:rPr>
          <w:rFonts w:ascii="Times New Roman" w:hAnsi="Times New Roman"/>
        </w:rPr>
        <w:t>0.23%.</w:t>
      </w:r>
    </w:p>
    <w:p>
      <w:r>
        <w:rPr>
          <w:rFonts w:ascii="Times New Roman" w:hAnsi="Times New Roman"/>
        </w:rPr>
        <w:t>The same pattern was observed in unique-peptide counts. DQA1*03:01/DQB1*03:02</w:t>
      </w:r>
    </w:p>
    <w:p>
      <w:r>
        <w:rPr>
          <w:rFonts w:ascii="Times New Roman" w:hAnsi="Times New Roman"/>
        </w:rPr>
        <w:t>bound 1067 of 11176 unique core windows (9.55%), whereas</w:t>
      </w:r>
    </w:p>
    <w:p>
      <w:r>
        <w:rPr>
          <w:rFonts w:ascii="Times New Roman" w:hAnsi="Times New Roman"/>
        </w:rPr>
        <w:t>DQA1*06:01/DQB1*03:01 and DQA1*05:08/DQB1*03:01 bound 141 (1.26%) and 123</w:t>
      </w:r>
    </w:p>
    <w:p>
      <w:r>
        <w:rPr>
          <w:rFonts w:ascii="Times New Roman" w:hAnsi="Times New Roman"/>
        </w:rPr>
        <w:t>(1.10%) unique core windows, respectively.</w:t>
      </w:r>
    </w:p>
    <w:p>
      <w:r>
        <w:rPr>
          <w:rFonts w:ascii="Times New Roman" w:hAnsi="Times New Roman"/>
        </w:rPr>
        <w:t>These expanded-panel results are shown in Figure 1 and establish the primary</w:t>
      </w:r>
    </w:p>
    <w:p>
      <w:r>
        <w:rPr>
          <w:rFonts w:ascii="Times New Roman" w:hAnsi="Times New Roman"/>
        </w:rPr>
        <w:t>observation: DQB1*03:01-containing heterodimers are low-binding outliers for</w:t>
      </w:r>
    </w:p>
    <w:p>
      <w:r>
        <w:rPr>
          <w:rFonts w:ascii="Times New Roman" w:hAnsi="Times New Roman"/>
        </w:rPr>
        <w:t>public HBV genotype B/C core peptides rather than merely lower than one</w:t>
      </w:r>
    </w:p>
    <w:p>
      <w:r>
        <w:rPr>
          <w:rFonts w:ascii="Times New Roman" w:hAnsi="Times New Roman"/>
        </w:rPr>
        <w:t>selected comparator.</w:t>
      </w:r>
    </w:p>
    <w:p>
      <w:pPr>
        <w:pStyle w:val="Heading2"/>
      </w:pPr>
      <w:r>
        <w:t>3.3. The DQB1*03:02 Comparator Exceeded DQB1*03:01-Containing Pairs in Statistical Comparisons</w:t>
      </w:r>
    </w:p>
    <w:p>
      <w:r>
        <w:rPr>
          <w:rFonts w:ascii="Times New Roman" w:hAnsi="Times New Roman"/>
        </w:rPr>
        <w:t>In unique-peptide Fisher exact tests, DQA1*03:01/DQB1*03:02 showed higher</w:t>
      </w:r>
    </w:p>
    <w:p>
      <w:r>
        <w:rPr>
          <w:rFonts w:ascii="Times New Roman" w:hAnsi="Times New Roman"/>
        </w:rPr>
        <w:t>predicted binding than DQA1*05:08/DQB1*03:01 (OR 9.48,</w:t>
      </w:r>
    </w:p>
    <w:p>
      <w:r>
        <w:rPr>
          <w:rFonts w:ascii="Times New Roman" w:hAnsi="Times New Roman"/>
        </w:rPr>
        <w:t>P = 2.29e-197) and DQA1*06:01/DQB1*03:01 (OR 8.26,</w:t>
      </w:r>
    </w:p>
    <w:p>
      <w:r>
        <w:rPr>
          <w:rFonts w:ascii="Times New Roman" w:hAnsi="Times New Roman"/>
        </w:rPr>
        <w:t>P = 3.27e-185). In occurrence-weighted analyses, the corresponding odds ratios</w:t>
      </w:r>
    </w:p>
    <w:p>
      <w:r>
        <w:rPr>
          <w:rFonts w:ascii="Times New Roman" w:hAnsi="Times New Roman"/>
        </w:rPr>
        <w:t>were 52.02 and 14.50; both P values underflowed and are reported as</w:t>
      </w:r>
    </w:p>
    <w:p>
      <w:r>
        <w:rPr>
          <w:rFonts w:ascii="Times New Roman" w:hAnsi="Times New Roman"/>
        </w:rPr>
        <w:t>P &lt; 1e-300.</w:t>
      </w:r>
    </w:p>
    <w:p>
      <w:r>
        <w:rPr>
          <w:rFonts w:ascii="Times New Roman" w:hAnsi="Times New Roman"/>
        </w:rPr>
        <w:t>The broader panel showed that DQB1*03:02 was not the single highest-binding</w:t>
      </w:r>
    </w:p>
    <w:p>
      <w:r>
        <w:rPr>
          <w:rFonts w:ascii="Times New Roman" w:hAnsi="Times New Roman"/>
        </w:rPr>
        <w:t>HLA-DQ pair; DQA1*01:01/DQB1*05:01 bound more public-core windows. The key</w:t>
      </w:r>
    </w:p>
    <w:p>
      <w:r>
        <w:rPr>
          <w:rFonts w:ascii="Times New Roman" w:hAnsi="Times New Roman"/>
        </w:rPr>
        <w:t>result is therefore not that DQB1*03:02 is universally superior, but that</w:t>
      </w:r>
    </w:p>
    <w:p>
      <w:r>
        <w:rPr>
          <w:rFonts w:ascii="Times New Roman" w:hAnsi="Times New Roman"/>
        </w:rPr>
        <w:t>DQB1*03:01-containing risk heterodimers are consistent low-binding outliers for</w:t>
      </w:r>
    </w:p>
    <w:p>
      <w:r>
        <w:rPr>
          <w:rFonts w:ascii="Times New Roman" w:hAnsi="Times New Roman"/>
        </w:rPr>
        <w:t>HBV core.</w:t>
      </w:r>
    </w:p>
    <w:p>
      <w:pPr>
        <w:pStyle w:val="Heading2"/>
      </w:pPr>
      <w:r>
        <w:t>3.4. The Gap Was Preserved across Genotype, Region, and Collection-Year Strata</w:t>
      </w:r>
    </w:p>
    <w:p>
      <w:r>
        <w:rPr>
          <w:rFonts w:ascii="Times New Roman" w:hAnsi="Times New Roman"/>
        </w:rPr>
        <w:t>Occurrence-weighted predicted binder rates for DQA1*03:01/DQB1*03:02 were</w:t>
      </w:r>
    </w:p>
    <w:p>
      <w:r>
        <w:rPr>
          <w:rFonts w:ascii="Times New Roman" w:hAnsi="Times New Roman"/>
        </w:rPr>
        <w:t>10.39% in genotype B query records and 10.60% in genotype C query records. For</w:t>
      </w:r>
    </w:p>
    <w:p>
      <w:r>
        <w:rPr>
          <w:rFonts w:ascii="Times New Roman" w:hAnsi="Times New Roman"/>
        </w:rPr>
        <w:t>DQA1*05:08/DQB1*03:01, rates were 0.27% and 0.20%, respectively. For</w:t>
      </w:r>
    </w:p>
    <w:p>
      <w:r>
        <w:rPr>
          <w:rFonts w:ascii="Times New Roman" w:hAnsi="Times New Roman"/>
        </w:rPr>
        <w:t>DQA1*06:01/DQB1*03:01, rates were 0.83% and 0.79%, respectively. Thus, the</w:t>
      </w:r>
    </w:p>
    <w:p>
      <w:r>
        <w:rPr>
          <w:rFonts w:ascii="Times New Roman" w:hAnsi="Times New Roman"/>
        </w:rPr>
        <w:t>predicted DQB1*03:01-associated core binding gap was not restricted to one</w:t>
      </w:r>
    </w:p>
    <w:p>
      <w:r>
        <w:rPr>
          <w:rFonts w:ascii="Times New Roman" w:hAnsi="Times New Roman"/>
        </w:rPr>
        <w:t>genotype query stratum.</w:t>
      </w:r>
    </w:p>
    <w:p>
      <w:r>
        <w:rPr>
          <w:rFonts w:ascii="Times New Roman" w:hAnsi="Times New Roman"/>
        </w:rPr>
        <w:t>The same direction was observed in major geographic strata, including East Asia,</w:t>
      </w:r>
    </w:p>
    <w:p>
      <w:r>
        <w:rPr>
          <w:rFonts w:ascii="Times New Roman" w:hAnsi="Times New Roman"/>
        </w:rPr>
        <w:t>Southeast Asia, South Asia, and North America, and across collection-year bins</w:t>
      </w:r>
    </w:p>
    <w:p>
      <w:r>
        <w:rPr>
          <w:rFonts w:ascii="Times New Roman" w:hAnsi="Times New Roman"/>
        </w:rPr>
        <w:t>from pre-2005 through 2016 and later. Leave-one-stratum-out analyses likewise</w:t>
      </w:r>
    </w:p>
    <w:p>
      <w:r>
        <w:rPr>
          <w:rFonts w:ascii="Times New Roman" w:hAnsi="Times New Roman"/>
        </w:rPr>
        <w:t>preserved large DQB1*03:02-to-DQB1*03:01 rate ratios, indicating that the</w:t>
      </w:r>
    </w:p>
    <w:p>
      <w:r>
        <w:rPr>
          <w:rFonts w:ascii="Times New Roman" w:hAnsi="Times New Roman"/>
        </w:rPr>
        <w:t>aggregate result was not explained by a single dominant region or time period.</w:t>
      </w:r>
    </w:p>
    <w:p>
      <w:r>
        <w:rPr>
          <w:rFonts w:ascii="Times New Roman" w:hAnsi="Times New Roman"/>
        </w:rPr>
        <w:t>These stratified rate-ratio analyses are provided in the supplementary tables</w:t>
      </w:r>
    </w:p>
    <w:p>
      <w:r>
        <w:rPr>
          <w:rFonts w:ascii="Times New Roman" w:hAnsi="Times New Roman"/>
        </w:rPr>
        <w:t>and are integrated with the de-redundancy checks in the robustness figure</w:t>
      </w:r>
    </w:p>
    <w:p>
      <w:r>
        <w:rPr>
          <w:rFonts w:ascii="Times New Roman" w:hAnsi="Times New Roman"/>
        </w:rPr>
        <w:t>described below.</w:t>
      </w:r>
    </w:p>
    <w:p>
      <w:pPr>
        <w:pStyle w:val="Heading2"/>
      </w:pPr>
      <w:r>
        <w:t>3.5. Method Sensitivity Supported the Occurrence-Weighted Direction of Effect</w:t>
      </w:r>
    </w:p>
    <w:p>
      <w:r>
        <w:rPr>
          <w:rFonts w:ascii="Times New Roman" w:hAnsi="Times New Roman"/>
        </w:rPr>
        <w:t>IEDB recommended-method predictions produced lower absolute binder rates than</w:t>
      </w:r>
    </w:p>
    <w:p>
      <w:r>
        <w:rPr>
          <w:rFonts w:ascii="Times New Roman" w:hAnsi="Times New Roman"/>
        </w:rPr>
        <w:t>NetMHCIIpan BA for the primary three heterodimers, but the occurrence-weighted</w:t>
      </w:r>
    </w:p>
    <w:p>
      <w:r>
        <w:rPr>
          <w:rFonts w:ascii="Times New Roman" w:hAnsi="Times New Roman"/>
        </w:rPr>
        <w:t>direction of effect was preserved. DQA1*03:01/DQB1*03:02 bound 4.59% of</w:t>
      </w:r>
    </w:p>
    <w:p>
      <w:r>
        <w:rPr>
          <w:rFonts w:ascii="Times New Roman" w:hAnsi="Times New Roman"/>
        </w:rPr>
        <w:t>occurrence-weighted core windows, compared with 1.20% for</w:t>
      </w:r>
    </w:p>
    <w:p>
      <w:r>
        <w:rPr>
          <w:rFonts w:ascii="Times New Roman" w:hAnsi="Times New Roman"/>
        </w:rPr>
        <w:t>DQA1*06:01/DQB1*03:01 and 0.41% for DQA1*05:08/DQB1*03:01. Under the</w:t>
      </w:r>
    </w:p>
    <w:p>
      <w:r>
        <w:rPr>
          <w:rFonts w:ascii="Times New Roman" w:hAnsi="Times New Roman"/>
        </w:rPr>
        <w:t>recommended method, occurrence-weighted rate ratios for DQA1*03:01/DQB1*03:02</w:t>
      </w:r>
    </w:p>
    <w:p>
      <w:r>
        <w:rPr>
          <w:rFonts w:ascii="Times New Roman" w:hAnsi="Times New Roman"/>
        </w:rPr>
        <w:t>over the two DQB1*03:01-containing pairs were 3.81 and 11.07. Unique-peptide</w:t>
      </w:r>
    </w:p>
    <w:p>
      <w:r>
        <w:rPr>
          <w:rFonts w:ascii="Times New Roman" w:hAnsi="Times New Roman"/>
        </w:rPr>
        <w:t>differences were weaker under the recommended method, indicating method</w:t>
      </w:r>
    </w:p>
    <w:p>
      <w:r>
        <w:rPr>
          <w:rFonts w:ascii="Times New Roman" w:hAnsi="Times New Roman"/>
        </w:rPr>
        <w:t>sensitivity in absolute thresholds but not reversal of the occurrence-weighted</w:t>
      </w:r>
    </w:p>
    <w:p>
      <w:r>
        <w:rPr>
          <w:rFonts w:ascii="Times New Roman" w:hAnsi="Times New Roman"/>
        </w:rPr>
        <w:t>gap.</w:t>
      </w:r>
    </w:p>
    <w:p>
      <w:r>
        <w:rPr>
          <w:rFonts w:ascii="Times New Roman" w:hAnsi="Times New Roman"/>
        </w:rPr>
        <w:t>The method comparison is shown in Figure 2.</w:t>
      </w:r>
    </w:p>
    <w:p>
      <w:pPr>
        <w:pStyle w:val="Heading2"/>
      </w:pPr>
      <w:r>
        <w:t>3.6. The DQB1*03:01 Core Gap Survived De-Redundancy and Bootstrap Analysis</w:t>
      </w:r>
    </w:p>
    <w:p>
      <w:r>
        <w:rPr>
          <w:rFonts w:ascii="Times New Roman" w:hAnsi="Times New Roman"/>
        </w:rPr>
        <w:t>Exact core protein de-duplication reduced the accession-level set to 787</w:t>
      </w:r>
    </w:p>
    <w:p>
      <w:r>
        <w:rPr>
          <w:rFonts w:ascii="Times New Roman" w:hAnsi="Times New Roman"/>
        </w:rPr>
        <w:t>representatives, greedy 99% identity de-redundancy retained 598 representatives,</w:t>
      </w:r>
    </w:p>
    <w:p>
      <w:r>
        <w:rPr>
          <w:rFonts w:ascii="Times New Roman" w:hAnsi="Times New Roman"/>
        </w:rPr>
        <w:t>and stringent 95% identity de-redundancy retained 106 representatives. In all</w:t>
      </w:r>
    </w:p>
    <w:p>
      <w:r>
        <w:rPr>
          <w:rFonts w:ascii="Times New Roman" w:hAnsi="Times New Roman"/>
        </w:rPr>
        <w:t>three de-redundant sets, DQA1*03:01/DQB1*03:02 maintained an</w:t>
      </w:r>
    </w:p>
    <w:p>
      <w:r>
        <w:rPr>
          <w:rFonts w:ascii="Times New Roman" w:hAnsi="Times New Roman"/>
        </w:rPr>
        <w:t>occurrence-weighted binder rate near 10%, whereas DQB1*03:01-containing</w:t>
      </w:r>
    </w:p>
    <w:p>
      <w:r>
        <w:rPr>
          <w:rFonts w:ascii="Times New Roman" w:hAnsi="Times New Roman"/>
        </w:rPr>
        <w:t>heterodimers remained near or below 1.1%.</w:t>
      </w:r>
    </w:p>
    <w:p>
      <w:r>
        <w:rPr>
          <w:rFonts w:ascii="Times New Roman" w:hAnsi="Times New Roman"/>
        </w:rPr>
        <w:t>Record-level bootstrap analysis further supported the robustness of the</w:t>
      </w:r>
    </w:p>
    <w:p>
      <w:r>
        <w:rPr>
          <w:rFonts w:ascii="Times New Roman" w:hAnsi="Times New Roman"/>
        </w:rPr>
        <w:t>contrast. The DQA1*03:01/DQB1*03:02 occurrence-weighted binder rate had a mean</w:t>
      </w:r>
    </w:p>
    <w:p>
      <w:r>
        <w:rPr>
          <w:rFonts w:ascii="Times New Roman" w:hAnsi="Times New Roman"/>
        </w:rPr>
        <w:t>of 10.53% with a 95% bootstrap interval of 10.48%-10.57%. The corresponding</w:t>
      </w:r>
    </w:p>
    <w:p>
      <w:r>
        <w:rPr>
          <w:rFonts w:ascii="Times New Roman" w:hAnsi="Times New Roman"/>
        </w:rPr>
        <w:t>means were 0.22% for DQA1*05:08/DQB1*03:01 and 0.80% for</w:t>
      </w:r>
    </w:p>
    <w:p>
      <w:r>
        <w:rPr>
          <w:rFonts w:ascii="Times New Roman" w:hAnsi="Times New Roman"/>
        </w:rPr>
        <w:t>DQA1*06:01/DQB1*03:01. Bootstrap rate-ratio intervals for the DQB1*03:02</w:t>
      </w:r>
    </w:p>
    <w:p>
      <w:r>
        <w:rPr>
          <w:rFonts w:ascii="Times New Roman" w:hAnsi="Times New Roman"/>
        </w:rPr>
        <w:t>comparator versus the DQB1*03:01-containing pairs were 41.86-53.67 and</w:t>
      </w:r>
    </w:p>
    <w:p>
      <w:r>
        <w:rPr>
          <w:rFonts w:ascii="Times New Roman" w:hAnsi="Times New Roman"/>
        </w:rPr>
        <w:t>12.66-13.63, respectively.</w:t>
      </w:r>
    </w:p>
    <w:p>
      <w:r>
        <w:rPr>
          <w:rFonts w:ascii="Times New Roman" w:hAnsi="Times New Roman"/>
        </w:rPr>
        <w:t>The de-redundancy and bootstrap results are summarized in Figure 3 and in</w:t>
      </w:r>
    </w:p>
    <w:p>
      <w:r>
        <w:rPr>
          <w:rFonts w:ascii="Times New Roman" w:hAnsi="Times New Roman"/>
        </w:rPr>
        <w:t>Supplementary Table S3.</w:t>
      </w:r>
    </w:p>
    <w:p>
      <w:pPr>
        <w:pStyle w:val="Heading2"/>
      </w:pPr>
      <w:r>
        <w:t>3.7. Core-Position Analysis Localized the Strongest Gap to the HBV Core N-Terminus</w:t>
      </w:r>
    </w:p>
    <w:p>
      <w:r>
        <w:rPr>
          <w:rFonts w:ascii="Times New Roman" w:hAnsi="Times New Roman"/>
        </w:rPr>
        <w:t>Position-level analysis showed that the DQB1*03:01-associated gap was not</w:t>
      </w:r>
    </w:p>
    <w:p>
      <w:r>
        <w:rPr>
          <w:rFonts w:ascii="Times New Roman" w:hAnsi="Times New Roman"/>
        </w:rPr>
        <w:t>uniformly distributed across HBV core. The largest gaps occurred in N-terminal</w:t>
      </w:r>
    </w:p>
    <w:p>
      <w:r>
        <w:rPr>
          <w:rFonts w:ascii="Times New Roman" w:hAnsi="Times New Roman"/>
        </w:rPr>
        <w:t>15-mer windows spanning approximately core positions 2-27. Several windows in</w:t>
      </w:r>
    </w:p>
    <w:p>
      <w:r>
        <w:rPr>
          <w:rFonts w:ascii="Times New Roman" w:hAnsi="Times New Roman"/>
        </w:rPr>
        <w:t>this region had DQA1*03:01/DQB1*03:02 occurrence-weighted binder rates near or</w:t>
      </w:r>
    </w:p>
    <w:p>
      <w:r>
        <w:rPr>
          <w:rFonts w:ascii="Times New Roman" w:hAnsi="Times New Roman"/>
        </w:rPr>
        <w:t>above 99%, while the combined DQB1*03:01 risk-pair binder rate was near zero.</w:t>
      </w:r>
    </w:p>
    <w:p>
      <w:r>
        <w:rPr>
          <w:rFonts w:ascii="Times New Roman" w:hAnsi="Times New Roman"/>
        </w:rPr>
        <w:t>The top gap window was core positions 12-26, represented by</w:t>
      </w:r>
    </w:p>
    <w:p>
      <w:r>
        <w:rPr>
          <w:rFonts w:ascii="Courier New" w:hAnsi="Courier New"/>
          <w:sz w:val="18"/>
        </w:rPr>
        <w:t>SVELLSFLPADFFPP</w:t>
      </w:r>
      <w:r>
        <w:rPr>
          <w:rFonts w:ascii="Times New Roman" w:hAnsi="Times New Roman"/>
        </w:rPr>
        <w:t>, where the DQB1*03:02 occurrence-weighted binder rate was</w:t>
      </w:r>
    </w:p>
    <w:p>
      <w:r>
        <w:rPr>
          <w:rFonts w:ascii="Times New Roman" w:hAnsi="Times New Roman"/>
        </w:rPr>
        <w:t>99.61% and the combined DQB1*03:01 risk-pair binder rate was 0%.</w:t>
      </w:r>
    </w:p>
    <w:p>
      <w:r>
        <w:rPr>
          <w:rFonts w:ascii="Times New Roman" w:hAnsi="Times New Roman"/>
        </w:rPr>
        <w:t>Additional but narrower gap regions were observed around core positions 29-43</w:t>
      </w:r>
    </w:p>
    <w:p>
      <w:r>
        <w:rPr>
          <w:rFonts w:ascii="Times New Roman" w:hAnsi="Times New Roman"/>
        </w:rPr>
        <w:t>and 65-80. These position-level findings provide a more focused candidate map</w:t>
      </w:r>
    </w:p>
    <w:p>
      <w:r>
        <w:rPr>
          <w:rFonts w:ascii="Times New Roman" w:hAnsi="Times New Roman"/>
        </w:rPr>
        <w:t>for future experimental testing than aggregate binder-rate comparisons alone.</w:t>
      </w:r>
    </w:p>
    <w:p>
      <w:r>
        <w:rPr>
          <w:rFonts w:ascii="Times New Roman" w:hAnsi="Times New Roman"/>
        </w:rPr>
        <w:t>The position-level gap map is shown in Figure 4.</w:t>
      </w:r>
    </w:p>
    <w:p>
      <w:pPr>
        <w:pStyle w:val="Heading2"/>
      </w:pPr>
      <w:r>
        <w:t>3.8. Predicted DQB1*03:01 Binders Did Not Overlap Known Core/Nucleocapsid MHC-II Epitopes</w:t>
      </w:r>
    </w:p>
    <w:p>
      <w:r>
        <w:rPr>
          <w:rFonts w:ascii="Times New Roman" w:hAnsi="Times New Roman"/>
        </w:rPr>
        <w:t>IEDB query API retrieval identified 1597 positive human HBV T-cell assay rows,</w:t>
      </w:r>
    </w:p>
    <w:p>
      <w:r>
        <w:rPr>
          <w:rFonts w:ascii="Times New Roman" w:hAnsi="Times New Roman"/>
        </w:rPr>
        <w:t>which normalized to 678 unique linear epitopes. Of these, 163 were core or</w:t>
      </w:r>
    </w:p>
    <w:p>
      <w:r>
        <w:rPr>
          <w:rFonts w:ascii="Times New Roman" w:hAnsi="Times New Roman"/>
        </w:rPr>
        <w:t>nucleocapsid epitopes and 50 were core/nucleocapsid MHC-II epitopes.</w:t>
      </w:r>
    </w:p>
    <w:p>
      <w:r>
        <w:rPr>
          <w:rFonts w:ascii="Times New Roman" w:hAnsi="Times New Roman"/>
        </w:rPr>
        <w:t>Among NetMHCIIpan-predicted public-core binders, DQA1*03:01/DQB1*03:02 had 225</w:t>
      </w:r>
    </w:p>
    <w:p>
      <w:r>
        <w:rPr>
          <w:rFonts w:ascii="Times New Roman" w:hAnsi="Times New Roman"/>
        </w:rPr>
        <w:t>binders overlapping known core/nucleocapsid T-cell epitopes and 20 overlapping</w:t>
      </w:r>
    </w:p>
    <w:p>
      <w:r>
        <w:rPr>
          <w:rFonts w:ascii="Times New Roman" w:hAnsi="Times New Roman"/>
        </w:rPr>
        <w:t>known core/nucleocapsid MHC-II epitopes. Other non-risk comparison heterodimers</w:t>
      </w:r>
    </w:p>
    <w:p>
      <w:r>
        <w:rPr>
          <w:rFonts w:ascii="Times New Roman" w:hAnsi="Times New Roman"/>
        </w:rPr>
        <w:t>had 19-32 binders overlapping known core/nucleocapsid MHC-II epitopes. In</w:t>
      </w:r>
    </w:p>
    <w:p>
      <w:r>
        <w:rPr>
          <w:rFonts w:ascii="Times New Roman" w:hAnsi="Times New Roman"/>
        </w:rPr>
        <w:t>contrast, the two DQB1*03:01-containing heterodimers had 17 and 25 binders</w:t>
      </w:r>
    </w:p>
    <w:p>
      <w:r>
        <w:rPr>
          <w:rFonts w:ascii="Times New Roman" w:hAnsi="Times New Roman"/>
        </w:rPr>
        <w:t>overlapping any known core/nucleocapsid T-cell epitope and zero binders</w:t>
      </w:r>
    </w:p>
    <w:p>
      <w:r>
        <w:rPr>
          <w:rFonts w:ascii="Times New Roman" w:hAnsi="Times New Roman"/>
        </w:rPr>
        <w:t>overlapping known core/nucleocapsid MHC-II epitopes.</w:t>
      </w:r>
    </w:p>
    <w:p>
      <w:r>
        <w:rPr>
          <w:rFonts w:ascii="Times New Roman" w:hAnsi="Times New Roman"/>
        </w:rPr>
        <w:t>IEDB recommended predictions were less extreme but directionally similar:</w:t>
      </w:r>
    </w:p>
    <w:p>
      <w:r>
        <w:rPr>
          <w:rFonts w:ascii="Times New Roman" w:hAnsi="Times New Roman"/>
        </w:rPr>
        <w:t>DQA1*03:01/DQB1*03:02 had six binder overlaps with known core/nucleocapsid</w:t>
      </w:r>
    </w:p>
    <w:p>
      <w:r>
        <w:rPr>
          <w:rFonts w:ascii="Times New Roman" w:hAnsi="Times New Roman"/>
        </w:rPr>
        <w:t>MHC-II epitopes, whereas the two DQB1*03:01-containing heterodimers had one and</w:t>
      </w:r>
    </w:p>
    <w:p>
      <w:r>
        <w:rPr>
          <w:rFonts w:ascii="Times New Roman" w:hAnsi="Times New Roman"/>
        </w:rPr>
        <w:t>two overlaps.</w:t>
      </w:r>
    </w:p>
    <w:p>
      <w:r>
        <w:rPr>
          <w:rFonts w:ascii="Times New Roman" w:hAnsi="Times New Roman"/>
        </w:rPr>
        <w:t>The IEDB overlap analysis is shown in Figure 5.</w:t>
      </w:r>
    </w:p>
    <w:p>
      <w:pPr>
        <w:pStyle w:val="Heading2"/>
      </w:pPr>
      <w:r>
        <w:t>3.9. Reference Proteome Analysis Supported a Core-Specific, Not Global, DQB1*03:01 Gap</w:t>
      </w:r>
    </w:p>
    <w:p>
      <w:r>
        <w:rPr>
          <w:rFonts w:ascii="Times New Roman" w:hAnsi="Times New Roman"/>
        </w:rPr>
        <w:t>Reference-proteome analysis showed that the DQB1*03:01-containing heterodimers</w:t>
      </w:r>
    </w:p>
    <w:p>
      <w:r>
        <w:rPr>
          <w:rFonts w:ascii="Times New Roman" w:hAnsi="Times New Roman"/>
        </w:rPr>
        <w:t>were not globally unable to bind HBV peptides. For reference X protein,</w:t>
      </w:r>
    </w:p>
    <w:p>
      <w:r>
        <w:rPr>
          <w:rFonts w:ascii="Times New Roman" w:hAnsi="Times New Roman"/>
        </w:rPr>
        <w:t>DQA1*05:08/DQB1*03:01 and DQA1*06:01/DQB1*03:01 had binder rates of 7.86% and</w:t>
      </w:r>
    </w:p>
    <w:p>
      <w:r>
        <w:rPr>
          <w:rFonts w:ascii="Times New Roman" w:hAnsi="Times New Roman"/>
        </w:rPr>
        <w:t>7.14%, respectively. For large envelope protein, they had binder rates of 9.87%</w:t>
      </w:r>
    </w:p>
    <w:p>
      <w:r>
        <w:rPr>
          <w:rFonts w:ascii="Times New Roman" w:hAnsi="Times New Roman"/>
        </w:rPr>
        <w:t>and 8.80%. For polymerase, they had binder rates of 2.44% and 3.55%. In</w:t>
      </w:r>
    </w:p>
    <w:p>
      <w:r>
        <w:rPr>
          <w:rFonts w:ascii="Times New Roman" w:hAnsi="Times New Roman"/>
        </w:rPr>
        <w:t>contrast, for reference core/capsid peptides, both DQB1*03:01-containing</w:t>
      </w:r>
    </w:p>
    <w:p>
      <w:r>
        <w:rPr>
          <w:rFonts w:ascii="Times New Roman" w:hAnsi="Times New Roman"/>
        </w:rPr>
        <w:t>heterodimers had 0/169 predicted binders. This supports a core/capsid-focused</w:t>
      </w:r>
    </w:p>
    <w:p>
      <w:r>
        <w:rPr>
          <w:rFonts w:ascii="Times New Roman" w:hAnsi="Times New Roman"/>
        </w:rPr>
        <w:t>presentation gap rather than a general failure of DQB1*03:01-containing</w:t>
      </w:r>
    </w:p>
    <w:p>
      <w:r>
        <w:rPr>
          <w:rFonts w:ascii="Times New Roman" w:hAnsi="Times New Roman"/>
        </w:rPr>
        <w:t>heterodimers to bind HBV-derived peptides.</w:t>
      </w:r>
    </w:p>
    <w:p>
      <w:r>
        <w:rPr>
          <w:rFonts w:ascii="Times New Roman" w:hAnsi="Times New Roman"/>
        </w:rPr>
        <w:t>The reference-proteome control is provided as Supplementary Figure S1.</w:t>
      </w:r>
    </w:p>
    <w:p>
      <w:pPr>
        <w:pStyle w:val="Heading2"/>
      </w:pPr>
      <w:r>
        <w:t>3.10. HCC Hotspot Pilots Did Not Support a Mutation-Loss Main Model</w:t>
      </w:r>
    </w:p>
    <w:p>
      <w:r>
        <w:rPr>
          <w:rFonts w:ascii="Times New Roman" w:hAnsi="Times New Roman"/>
        </w:rPr>
        <w:t>Exploratory analyses of literature-derived HBx and PreS/S HCC-associated</w:t>
      </w:r>
    </w:p>
    <w:p>
      <w:r>
        <w:rPr>
          <w:rFonts w:ascii="Times New Roman" w:hAnsi="Times New Roman"/>
        </w:rPr>
        <w:t>hotspots did not support the initial hypothesis that HCC-associated coding</w:t>
      </w:r>
    </w:p>
    <w:p>
      <w:r>
        <w:rPr>
          <w:rFonts w:ascii="Times New Roman" w:hAnsi="Times New Roman"/>
        </w:rPr>
        <w:t>mutations commonly create DQB1*03:01-specific binder-to-non-binder loss. HBx</w:t>
      </w:r>
    </w:p>
    <w:p>
      <w:r>
        <w:rPr>
          <w:rFonts w:ascii="Times New Roman" w:hAnsi="Times New Roman"/>
        </w:rPr>
        <w:t>hotspots were largely non-binding for the tested DQB1*03:01 pairs, and the</w:t>
      </w:r>
    </w:p>
    <w:p>
      <w:r>
        <w:rPr>
          <w:rFonts w:ascii="Times New Roman" w:hAnsi="Times New Roman"/>
        </w:rPr>
        <w:t>PreS/S S166L example showed allele-specific binding remodeling rather than</w:t>
      </w:r>
    </w:p>
    <w:p>
      <w:r>
        <w:rPr>
          <w:rFonts w:ascii="Times New Roman" w:hAnsi="Times New Roman"/>
        </w:rPr>
        <w:t>loss. These negative pilots motivated the final focus on the robust HBV core</w:t>
      </w:r>
    </w:p>
    <w:p>
      <w:r>
        <w:rPr>
          <w:rFonts w:ascii="Times New Roman" w:hAnsi="Times New Roman"/>
        </w:rPr>
        <w:t>presentation-gap result.</w:t>
      </w:r>
    </w:p>
    <w:p>
      <w:pPr>
        <w:pStyle w:val="Heading1"/>
      </w:pPr>
      <w:r>
        <w:t>4. Discussion</w:t>
      </w:r>
    </w:p>
    <w:p>
      <w:r>
        <w:rPr>
          <w:rFonts w:ascii="Times New Roman" w:hAnsi="Times New Roman"/>
        </w:rPr>
        <w:t>This study shows that public HBV genotype B/C core diversity preserves a marked</w:t>
      </w:r>
    </w:p>
    <w:p>
      <w:r>
        <w:rPr>
          <w:rFonts w:ascii="Times New Roman" w:hAnsi="Times New Roman"/>
        </w:rPr>
        <w:t>predicted HLA class-II binding gap for DQB1*03:01-containing HLA-DQ</w:t>
      </w:r>
    </w:p>
    <w:p>
      <w:r>
        <w:rPr>
          <w:rFonts w:ascii="Times New Roman" w:hAnsi="Times New Roman"/>
        </w:rPr>
        <w:t>heterodimers. The result extends the reported DQB1*03:01-HBV-HCC nucleocapsid</w:t>
      </w:r>
    </w:p>
    <w:p>
      <w:r>
        <w:rPr>
          <w:rFonts w:ascii="Times New Roman" w:hAnsi="Times New Roman"/>
        </w:rPr>
        <w:t>axis from reference-sequence analysis into real public viral sequence diversity.</w:t>
      </w:r>
    </w:p>
    <w:p>
      <w:r>
        <w:rPr>
          <w:rFonts w:ascii="Times New Roman" w:hAnsi="Times New Roman"/>
        </w:rPr>
        <w:t>It also narrows the biological hypothesis: DQB1*03:01-containing molecules are</w:t>
      </w:r>
    </w:p>
    <w:p>
      <w:r>
        <w:rPr>
          <w:rFonts w:ascii="Times New Roman" w:hAnsi="Times New Roman"/>
        </w:rPr>
        <w:t>not predicted to be universally poor binders of HBV peptides; rather, their</w:t>
      </w:r>
    </w:p>
    <w:p>
      <w:r>
        <w:rPr>
          <w:rFonts w:ascii="Times New Roman" w:hAnsi="Times New Roman"/>
        </w:rPr>
        <w:t>deficit is most pronounced for core/capsid peptides.</w:t>
      </w:r>
    </w:p>
    <w:p>
      <w:r>
        <w:rPr>
          <w:rFonts w:ascii="Times New Roman" w:hAnsi="Times New Roman"/>
        </w:rPr>
        <w:t>Several findings strengthen this conclusion. First, DQB1*03:01-containing</w:t>
      </w:r>
    </w:p>
    <w:p>
      <w:r>
        <w:rPr>
          <w:rFonts w:ascii="Times New Roman" w:hAnsi="Times New Roman"/>
        </w:rPr>
        <w:t>heterodimers were consistent low-binding outliers in a seven-heterodimer HLA-DQ</w:t>
      </w:r>
    </w:p>
    <w:p>
      <w:r>
        <w:rPr>
          <w:rFonts w:ascii="Times New Roman" w:hAnsi="Times New Roman"/>
        </w:rPr>
        <w:t>panel, whereas multiple non-risk comparison molecules showed substantially</w:t>
      </w:r>
    </w:p>
    <w:p>
      <w:r>
        <w:rPr>
          <w:rFonts w:ascii="Times New Roman" w:hAnsi="Times New Roman"/>
        </w:rPr>
        <w:t>higher core binder rates. Second, the result persisted after exact and</w:t>
      </w:r>
    </w:p>
    <w:p>
      <w:r>
        <w:rPr>
          <w:rFonts w:ascii="Times New Roman" w:hAnsi="Times New Roman"/>
        </w:rPr>
        <w:t>identity-based sequence de-redundancy, arguing against simple GenBank</w:t>
      </w:r>
    </w:p>
    <w:p>
      <w:r>
        <w:rPr>
          <w:rFonts w:ascii="Times New Roman" w:hAnsi="Times New Roman"/>
        </w:rPr>
        <w:t>redundancy as the explanation. Third, record-level bootstrap intervals remained</w:t>
      </w:r>
    </w:p>
    <w:p>
      <w:r>
        <w:rPr>
          <w:rFonts w:ascii="Times New Roman" w:hAnsi="Times New Roman"/>
        </w:rPr>
        <w:t>far from the null comparison. Fourth, genotype, region, and year-stratified</w:t>
      </w:r>
    </w:p>
    <w:p>
      <w:r>
        <w:rPr>
          <w:rFonts w:ascii="Times New Roman" w:hAnsi="Times New Roman"/>
        </w:rPr>
        <w:t>analyses preserved the direction of effect. Fifth, IEDB human T-cell epitope</w:t>
      </w:r>
    </w:p>
    <w:p>
      <w:r>
        <w:rPr>
          <w:rFonts w:ascii="Times New Roman" w:hAnsi="Times New Roman"/>
        </w:rPr>
        <w:t>overlap analysis suggested that predicted DQB1*03:01 binders poorly cover known</w:t>
      </w:r>
    </w:p>
    <w:p>
      <w:r>
        <w:rPr>
          <w:rFonts w:ascii="Times New Roman" w:hAnsi="Times New Roman"/>
        </w:rPr>
        <w:t>core/nucleocapsid MHC-II epitope regions. Finally, reference-proteome controls</w:t>
      </w:r>
    </w:p>
    <w:p>
      <w:r>
        <w:rPr>
          <w:rFonts w:ascii="Times New Roman" w:hAnsi="Times New Roman"/>
        </w:rPr>
        <w:t>showed that DQB1*03:01-containing heterodimers can bind peptides from other HBV</w:t>
      </w:r>
    </w:p>
    <w:p>
      <w:r>
        <w:rPr>
          <w:rFonts w:ascii="Times New Roman" w:hAnsi="Times New Roman"/>
        </w:rPr>
        <w:t>proteins, supporting specificity of the core/capsid gap.</w:t>
      </w:r>
    </w:p>
    <w:p>
      <w:r>
        <w:rPr>
          <w:rFonts w:ascii="Times New Roman" w:hAnsi="Times New Roman"/>
        </w:rPr>
        <w:t>The core-position analysis is a useful addition because it moves the study</w:t>
      </w:r>
    </w:p>
    <w:p>
      <w:r>
        <w:rPr>
          <w:rFonts w:ascii="Times New Roman" w:hAnsi="Times New Roman"/>
        </w:rPr>
        <w:t>beyond global binder counts. The largest gap localized to the HBV core</w:t>
      </w:r>
    </w:p>
    <w:p>
      <w:r>
        <w:rPr>
          <w:rFonts w:ascii="Times New Roman" w:hAnsi="Times New Roman"/>
        </w:rPr>
        <w:t>N-terminus, especially windows spanning approximately positions 2-27. This</w:t>
      </w:r>
    </w:p>
    <w:p>
      <w:r>
        <w:rPr>
          <w:rFonts w:ascii="Times New Roman" w:hAnsi="Times New Roman"/>
        </w:rPr>
        <w:t>region should be prioritized if future experiments test HLA-DQ binding,</w:t>
      </w:r>
    </w:p>
    <w:p>
      <w:r>
        <w:rPr>
          <w:rFonts w:ascii="Times New Roman" w:hAnsi="Times New Roman"/>
        </w:rPr>
        <w:t>antigen processing, or CD4 T-cell recognition in DQB1*03:01-positive versus</w:t>
      </w:r>
    </w:p>
    <w:p>
      <w:r>
        <w:rPr>
          <w:rFonts w:ascii="Times New Roman" w:hAnsi="Times New Roman"/>
        </w:rPr>
        <w:t>DQB1*03:02-positive contexts.</w:t>
      </w:r>
    </w:p>
    <w:p>
      <w:r>
        <w:rPr>
          <w:rFonts w:ascii="Times New Roman" w:hAnsi="Times New Roman"/>
        </w:rPr>
        <w:t>The study also illustrates the value of hypothesis revision in public-data</w:t>
      </w:r>
    </w:p>
    <w:p>
      <w:r>
        <w:rPr>
          <w:rFonts w:ascii="Times New Roman" w:hAnsi="Times New Roman"/>
        </w:rPr>
        <w:t>research. The initial mutation-loss model was mechanistically attractive but did</w:t>
      </w:r>
    </w:p>
    <w:p>
      <w:r>
        <w:rPr>
          <w:rFonts w:ascii="Times New Roman" w:hAnsi="Times New Roman"/>
        </w:rPr>
        <w:t>not survive pilot testing. A stronger article emerged by retaining negative</w:t>
      </w:r>
    </w:p>
    <w:p>
      <w:r>
        <w:rPr>
          <w:rFonts w:ascii="Times New Roman" w:hAnsi="Times New Roman"/>
        </w:rPr>
        <w:t>mutation results as secondary context and focusing on the reproducible public</w:t>
      </w:r>
    </w:p>
    <w:p>
      <w:r>
        <w:rPr>
          <w:rFonts w:ascii="Times New Roman" w:hAnsi="Times New Roman"/>
        </w:rPr>
        <w:t>sequence signal. This restraint is important: the present analysis supports a</w:t>
      </w:r>
    </w:p>
    <w:p>
      <w:r>
        <w:rPr>
          <w:rFonts w:ascii="Times New Roman" w:hAnsi="Times New Roman"/>
        </w:rPr>
        <w:t>computational presentation-gap hypothesis, not direct proof of HBV-HCC</w:t>
      </w:r>
    </w:p>
    <w:p>
      <w:r>
        <w:rPr>
          <w:rFonts w:ascii="Times New Roman" w:hAnsi="Times New Roman"/>
        </w:rPr>
        <w:t>causality.</w:t>
      </w:r>
    </w:p>
    <w:p>
      <w:r>
        <w:rPr>
          <w:rFonts w:ascii="Times New Roman" w:hAnsi="Times New Roman"/>
        </w:rPr>
        <w:t>This study has important limitations. It predicts peptide-HLA binding, not</w:t>
      </w:r>
    </w:p>
    <w:p>
      <w:r>
        <w:rPr>
          <w:rFonts w:ascii="Times New Roman" w:hAnsi="Times New Roman"/>
        </w:rPr>
        <w:t>antigen processing, HLA-DQ surface presentation, or T-cell recognition. Public</w:t>
      </w:r>
    </w:p>
    <w:p>
      <w:r>
        <w:rPr>
          <w:rFonts w:ascii="Times New Roman" w:hAnsi="Times New Roman"/>
        </w:rPr>
        <w:t>viral records are not paired with host HLA genotypes, so the analysis cannot</w:t>
      </w:r>
    </w:p>
    <w:p>
      <w:r>
        <w:rPr>
          <w:rFonts w:ascii="Times New Roman" w:hAnsi="Times New Roman"/>
        </w:rPr>
        <w:t>infer within-host HLA-driven viral evolution. GenBank metadata are incomplete</w:t>
      </w:r>
    </w:p>
    <w:p>
      <w:r>
        <w:rPr>
          <w:rFonts w:ascii="Times New Roman" w:hAnsi="Times New Roman"/>
        </w:rPr>
        <w:t>and biased, and genotype/country sampling is uneven. HLA-DQ alpha/beta haplotype</w:t>
      </w:r>
    </w:p>
    <w:p>
      <w:r>
        <w:rPr>
          <w:rFonts w:ascii="Times New Roman" w:hAnsi="Times New Roman"/>
        </w:rPr>
        <w:t>phase is not known for viral sequence donors. The IEDB recommended method</w:t>
      </w:r>
    </w:p>
    <w:p>
      <w:r>
        <w:rPr>
          <w:rFonts w:ascii="Times New Roman" w:hAnsi="Times New Roman"/>
        </w:rPr>
        <w:t>showed weaker unique-peptide differences than NetMHCIIpan BA, emphasizing that</w:t>
      </w:r>
    </w:p>
    <w:p>
      <w:r>
        <w:rPr>
          <w:rFonts w:ascii="Times New Roman" w:hAnsi="Times New Roman"/>
        </w:rPr>
        <w:t>absolute thresholds depend on prediction method. Finally, IEDB epitope overlap</w:t>
      </w:r>
    </w:p>
    <w:p>
      <w:r>
        <w:rPr>
          <w:rFonts w:ascii="Times New Roman" w:hAnsi="Times New Roman"/>
        </w:rPr>
        <w:t>is limited by historical assay coverage and should not be interpreted as a</w:t>
      </w:r>
    </w:p>
    <w:p>
      <w:r>
        <w:rPr>
          <w:rFonts w:ascii="Times New Roman" w:hAnsi="Times New Roman"/>
        </w:rPr>
        <w:t>complete map of HBV core CD4 epitopes.</w:t>
      </w:r>
    </w:p>
    <w:p>
      <w:r>
        <w:rPr>
          <w:rFonts w:ascii="Times New Roman" w:hAnsi="Times New Roman"/>
        </w:rPr>
        <w:t>Despite these limitations, the study provides a reproducible computational</w:t>
      </w:r>
    </w:p>
    <w:p>
      <w:r>
        <w:rPr>
          <w:rFonts w:ascii="Times New Roman" w:hAnsi="Times New Roman"/>
        </w:rPr>
        <w:t>extension of a recent HBV-HCC host-genetic finding and nominates HBV core</w:t>
      </w:r>
    </w:p>
    <w:p>
      <w:r>
        <w:rPr>
          <w:rFonts w:ascii="Times New Roman" w:hAnsi="Times New Roman"/>
        </w:rPr>
        <w:t>antigen presentation as a focused mechanism for future validation.</w:t>
      </w:r>
    </w:p>
    <w:p>
      <w:pPr>
        <w:pStyle w:val="Heading1"/>
      </w:pPr>
      <w:r>
        <w:t>5. Conclusions</w:t>
      </w:r>
    </w:p>
    <w:p>
      <w:r>
        <w:rPr>
          <w:rFonts w:ascii="Times New Roman" w:hAnsi="Times New Roman"/>
        </w:rPr>
        <w:t>Public HBV genotype B/C core diversity preserves a large predicted HLA-DQ</w:t>
      </w:r>
    </w:p>
    <w:p>
      <w:r>
        <w:rPr>
          <w:rFonts w:ascii="Times New Roman" w:hAnsi="Times New Roman"/>
        </w:rPr>
        <w:t>class-II presentation gap for DQB1*03:01-containing heterodimers. The result is</w:t>
      </w:r>
    </w:p>
    <w:p>
      <w:r>
        <w:rPr>
          <w:rFonts w:ascii="Times New Roman" w:hAnsi="Times New Roman"/>
        </w:rPr>
        <w:t>robust to public-database redundancy, stratification, method sensitivity, IEDB</w:t>
      </w:r>
    </w:p>
    <w:p>
      <w:r>
        <w:rPr>
          <w:rFonts w:ascii="Times New Roman" w:hAnsi="Times New Roman"/>
        </w:rPr>
        <w:t>epitope overlap checks, and reference-proteome controls. The study does not</w:t>
      </w:r>
    </w:p>
    <w:p>
      <w:r>
        <w:rPr>
          <w:rFonts w:ascii="Times New Roman" w:hAnsi="Times New Roman"/>
        </w:rPr>
        <w:t>establish direct antigen presentation or HCC causality, but it converts a</w:t>
      </w:r>
    </w:p>
    <w:p>
      <w:r>
        <w:rPr>
          <w:rFonts w:ascii="Times New Roman" w:hAnsi="Times New Roman"/>
        </w:rPr>
        <w:t>host-genetic HBV-HCC association into a reproducible public-data mechanism:</w:t>
      </w:r>
    </w:p>
    <w:p>
      <w:r>
        <w:rPr>
          <w:rFonts w:ascii="Times New Roman" w:hAnsi="Times New Roman"/>
        </w:rPr>
        <w:t>core/capsid peptides, especially N-terminal windows, are prioritized candidates</w:t>
      </w:r>
    </w:p>
    <w:p>
      <w:r>
        <w:rPr>
          <w:rFonts w:ascii="Times New Roman" w:hAnsi="Times New Roman"/>
        </w:rPr>
        <w:t>for DQB1*03:01-focused experimental validation.</w:t>
      </w:r>
    </w:p>
    <w:p>
      <w:pPr>
        <w:pStyle w:val="Heading1"/>
      </w:pPr>
      <w:r>
        <w:t>Supplementary Materials</w:t>
      </w:r>
    </w:p>
    <w:p>
      <w:r>
        <w:rPr>
          <w:rFonts w:ascii="Times New Roman" w:hAnsi="Times New Roman"/>
        </w:rPr>
        <w:t>The following supporting files are prepared for submission: Supplementary Note</w:t>
      </w:r>
    </w:p>
    <w:p>
      <w:r>
        <w:rPr>
          <w:rFonts w:ascii="Times New Roman" w:hAnsi="Times New Roman"/>
        </w:rPr>
        <w:t>S1, which documents data sources, workflow steps, quality-control filters,</w:t>
      </w:r>
    </w:p>
    <w:p>
      <w:r>
        <w:rPr>
          <w:rFonts w:ascii="Times New Roman" w:hAnsi="Times New Roman"/>
        </w:rPr>
        <w:t>negative pilot analyses, and reproducibility commands; Supplementary Table S1,</w:t>
      </w:r>
    </w:p>
    <w:p>
      <w:r>
        <w:rPr>
          <w:rFonts w:ascii="Times New Roman" w:hAnsi="Times New Roman"/>
        </w:rPr>
        <w:t>expanded HLA-DQ NetMHCIIpan summary by allele; Supplementary Table S2,</w:t>
      </w:r>
    </w:p>
    <w:p>
      <w:r>
        <w:rPr>
          <w:rFonts w:ascii="Times New Roman" w:hAnsi="Times New Roman"/>
        </w:rPr>
        <w:t>pairwise Fisher exact tests versus the DQB1*03:02 comparator; Supplementary</w:t>
      </w:r>
    </w:p>
    <w:p>
      <w:r>
        <w:rPr>
          <w:rFonts w:ascii="Times New Roman" w:hAnsi="Times New Roman"/>
        </w:rPr>
        <w:t>Table S3, de-redundancy and bootstrap sensitivity results; Supplementary Table</w:t>
      </w:r>
    </w:p>
    <w:p>
      <w:r>
        <w:rPr>
          <w:rFonts w:ascii="Times New Roman" w:hAnsi="Times New Roman"/>
        </w:rPr>
        <w:t>S4, top core-position presentation-gap windows; Supplementary Table S5, IEDB</w:t>
      </w:r>
    </w:p>
    <w:p>
      <w:r>
        <w:rPr>
          <w:rFonts w:ascii="Times New Roman" w:hAnsi="Times New Roman"/>
        </w:rPr>
        <w:t>core/nucleocapsid epitope overlap summary; and Supplementary Figure S1,</w:t>
      </w:r>
    </w:p>
    <w:p>
      <w:r>
        <w:rPr>
          <w:rFonts w:ascii="Times New Roman" w:hAnsi="Times New Roman"/>
        </w:rPr>
        <w:t>reference HBV proteome control. The reproducible public repository also</w:t>
      </w:r>
    </w:p>
    <w:p>
      <w:r>
        <w:rPr>
          <w:rFonts w:ascii="Times New Roman" w:hAnsi="Times New Roman"/>
        </w:rPr>
        <w:t>contains machine-readable CSV outputs and analysis scripts.</w:t>
      </w:r>
    </w:p>
    <w:p>
      <w:pPr>
        <w:pStyle w:val="Heading1"/>
      </w:pPr>
      <w:r>
        <w:t>Author Contributions</w:t>
      </w:r>
    </w:p>
    <w:p>
      <w:r>
        <w:rPr>
          <w:rFonts w:ascii="Times New Roman" w:hAnsi="Times New Roman"/>
        </w:rPr>
        <w:t>Conceptualization, methodology, software, validation, formal analysis, data</w:t>
      </w:r>
    </w:p>
    <w:p>
      <w:r>
        <w:rPr>
          <w:rFonts w:ascii="Times New Roman" w:hAnsi="Times New Roman"/>
        </w:rPr>
        <w:t>curation, writing-original draft preparation, writing-review and editing,</w:t>
      </w:r>
    </w:p>
    <w:p>
      <w:r>
        <w:rPr>
          <w:rFonts w:ascii="Times New Roman" w:hAnsi="Times New Roman"/>
        </w:rPr>
        <w:t>visualization, and project administration: Linfeng Liu.</w:t>
      </w:r>
    </w:p>
    <w:p>
      <w:pPr>
        <w:pStyle w:val="Heading1"/>
      </w:pPr>
      <w:r>
        <w:t>Funding</w:t>
      </w:r>
    </w:p>
    <w:p>
      <w:r>
        <w:rPr>
          <w:rFonts w:ascii="Times New Roman" w:hAnsi="Times New Roman"/>
        </w:rPr>
        <w:t>This research received no external funding.</w:t>
      </w:r>
    </w:p>
    <w:p>
      <w:pPr>
        <w:pStyle w:val="Heading1"/>
      </w:pPr>
      <w:r>
        <w:t>Institutional Review Board Statement</w:t>
      </w:r>
    </w:p>
    <w:p>
      <w:r>
        <w:rPr>
          <w:rFonts w:ascii="Times New Roman" w:hAnsi="Times New Roman"/>
        </w:rPr>
        <w:t>Not applicable. This study used only public viral sequences and public epitope</w:t>
      </w:r>
    </w:p>
    <w:p>
      <w:r>
        <w:rPr>
          <w:rFonts w:ascii="Times New Roman" w:hAnsi="Times New Roman"/>
        </w:rPr>
        <w:t>database records and did not involve human participants or animals.</w:t>
      </w:r>
    </w:p>
    <w:p>
      <w:pPr>
        <w:pStyle w:val="Heading1"/>
      </w:pPr>
      <w:r>
        <w:t>Informed Consent Statement</w:t>
      </w:r>
    </w:p>
    <w:p>
      <w:r>
        <w:rPr>
          <w:rFonts w:ascii="Times New Roman" w:hAnsi="Times New Roman"/>
        </w:rPr>
        <w:t>Not applicable.</w:t>
      </w:r>
    </w:p>
    <w:p>
      <w:pPr>
        <w:pStyle w:val="Heading1"/>
      </w:pPr>
      <w:r>
        <w:t>Data Availability Statement</w:t>
      </w:r>
    </w:p>
    <w:p>
      <w:r>
        <w:rPr>
          <w:rFonts w:ascii="Times New Roman" w:hAnsi="Times New Roman"/>
        </w:rPr>
        <w:t>All viral sequences were downloaded from public NCBI GenBank records using NCBI</w:t>
      </w:r>
    </w:p>
    <w:p>
      <w:r>
        <w:rPr>
          <w:rFonts w:ascii="Times New Roman" w:hAnsi="Times New Roman"/>
        </w:rPr>
        <w:t>E-utilities. IEDB MHC-II predictions were generated through the public IEDB</w:t>
      </w:r>
    </w:p>
    <w:p>
      <w:r>
        <w:rPr>
          <w:rFonts w:ascii="Times New Roman" w:hAnsi="Times New Roman"/>
        </w:rPr>
        <w:t>MHC-II API. IEDB human HBV T-cell epitope records were retrieved from the IEDB</w:t>
      </w:r>
    </w:p>
    <w:p>
      <w:r>
        <w:rPr>
          <w:rFonts w:ascii="Times New Roman" w:hAnsi="Times New Roman"/>
        </w:rPr>
        <w:t>query API. Processed peptide metadata, prediction outputs, summary tables, and</w:t>
      </w:r>
    </w:p>
    <w:p>
      <w:r>
        <w:rPr>
          <w:rFonts w:ascii="Times New Roman" w:hAnsi="Times New Roman"/>
        </w:rPr>
        <w:t>analysis scripts are prepared for deposition in a public GitHub repository and</w:t>
      </w:r>
    </w:p>
    <w:p>
      <w:r>
        <w:rPr>
          <w:rFonts w:ascii="Times New Roman" w:hAnsi="Times New Roman"/>
        </w:rPr>
        <w:t>archival Zenodo release before journal submission. The repository and DOI</w:t>
      </w:r>
    </w:p>
    <w:p>
      <w:r>
        <w:rPr>
          <w:rFonts w:ascii="Times New Roman" w:hAnsi="Times New Roman"/>
        </w:rPr>
        <w:t>placeholders are provided in the accompanying submission package and should be</w:t>
      </w:r>
    </w:p>
    <w:p>
      <w:r>
        <w:rPr>
          <w:rFonts w:ascii="Times New Roman" w:hAnsi="Times New Roman"/>
        </w:rPr>
        <w:t>replaced with live links after deposition.</w:t>
      </w:r>
    </w:p>
    <w:p>
      <w:pPr>
        <w:pStyle w:val="Heading1"/>
      </w:pPr>
      <w:r>
        <w:t>Code Availability</w:t>
      </w:r>
    </w:p>
    <w:p>
      <w:r>
        <w:rPr>
          <w:rFonts w:ascii="Times New Roman" w:hAnsi="Times New Roman"/>
        </w:rPr>
        <w:t xml:space="preserve">The reproducible workflow is implemented in the </w:t>
      </w:r>
      <w:r>
        <w:rPr>
          <w:rFonts w:ascii="Courier New" w:hAnsi="Courier New"/>
          <w:sz w:val="18"/>
        </w:rPr>
        <w:t>scripts</w:t>
      </w:r>
      <w:r>
        <w:rPr>
          <w:rFonts w:ascii="Times New Roman" w:hAnsi="Times New Roman"/>
        </w:rPr>
        <w:t xml:space="preserve"> directory. Main</w:t>
      </w:r>
    </w:p>
    <w:p>
      <w:r>
        <w:rPr>
          <w:rFonts w:ascii="Times New Roman" w:hAnsi="Times New Roman"/>
        </w:rPr>
        <w:t>commands and output files are listed in</w:t>
      </w:r>
    </w:p>
    <w:p>
      <w:r>
        <w:rPr>
          <w:rFonts w:ascii="Courier New" w:hAnsi="Courier New"/>
          <w:sz w:val="18"/>
        </w:rPr>
        <w:t>submission_viruses/HBV_DQB10301_viruses_supplementary_note.md</w:t>
      </w:r>
      <w:r>
        <w:rPr>
          <w:rFonts w:ascii="Times New Roman" w:hAnsi="Times New Roman"/>
        </w:rPr>
        <w:t>.</w:t>
      </w:r>
    </w:p>
    <w:p>
      <w:pPr>
        <w:pStyle w:val="Heading1"/>
      </w:pPr>
      <w:r>
        <w:t>Acknowledgments</w:t>
      </w:r>
    </w:p>
    <w:p>
      <w:r>
        <w:rPr>
          <w:rFonts w:ascii="Times New Roman" w:hAnsi="Times New Roman"/>
        </w:rPr>
        <w:t>The author thanks the maintainers of NCBI GenBank, IEDB, and the open-source</w:t>
      </w:r>
    </w:p>
    <w:p>
      <w:r>
        <w:rPr>
          <w:rFonts w:ascii="Times New Roman" w:hAnsi="Times New Roman"/>
        </w:rPr>
        <w:t>scientific Python ecosystem.</w:t>
      </w:r>
    </w:p>
    <w:p>
      <w:pPr>
        <w:pStyle w:val="Heading1"/>
      </w:pPr>
      <w:r>
        <w:t>Conflicts of Interest</w:t>
      </w:r>
    </w:p>
    <w:p>
      <w:r>
        <w:rPr>
          <w:rFonts w:ascii="Times New Roman" w:hAnsi="Times New Roman"/>
        </w:rPr>
        <w:t>The author declares no competing interests.</w:t>
      </w:r>
    </w:p>
    <w:p>
      <w:r>
        <w:br w:type="page"/>
      </w:r>
    </w:p>
    <w:p>
      <w:pPr>
        <w:pStyle w:val="Heading1"/>
      </w:pPr>
      <w:r>
        <w:t>References</w:t>
      </w:r>
    </w:p>
    <w:p>
      <w:pPr>
        <w:pStyle w:val="ListNumber"/>
      </w:pPr>
      <w:r>
        <w:rPr>
          <w:rFonts w:ascii="Times New Roman" w:hAnsi="Times New Roman"/>
        </w:rPr>
        <w:t>McGlynn KA, Petrick JL, El-Serag HB. Epidemiology of Hepatocellular Carcinoma. Hepatology. 2021;73 Suppl 1(Suppl 1):4-13. doi:10.1002/hep.31288.</w:t>
      </w:r>
    </w:p>
    <w:p>
      <w:pPr>
        <w:pStyle w:val="ListNumber"/>
      </w:pPr>
      <w:r>
        <w:rPr>
          <w:rFonts w:ascii="Times New Roman" w:hAnsi="Times New Roman"/>
        </w:rPr>
        <w:t>Yuen MF, Chen DS, Dusheiko GM, Janssen HLA, Lau DTY, Locarnini SA, et al. Hepatitis B virus infection. Nat Rev Dis Primers. 2018;4:18035. doi:10.1038/nrdp.2018.35.</w:t>
      </w:r>
    </w:p>
    <w:p>
      <w:pPr>
        <w:pStyle w:val="ListNumber"/>
      </w:pPr>
      <w:r>
        <w:rPr>
          <w:rFonts w:ascii="Times New Roman" w:hAnsi="Times New Roman"/>
        </w:rPr>
        <w:t>MacLachlan JH, Cowie BC. Hepatitis B virus epidemiology. Cold Spring Harb Perspect Med. 2015;5(5):a021410. doi:10.1101/cshperspect.a021410.</w:t>
      </w:r>
    </w:p>
    <w:p>
      <w:pPr>
        <w:pStyle w:val="ListNumber"/>
      </w:pPr>
      <w:r>
        <w:rPr>
          <w:rFonts w:ascii="Times New Roman" w:hAnsi="Times New Roman"/>
        </w:rPr>
        <w:t>European Association for the Study of the Liver. EASL 2017 Clinical Practice Guidelines on the management of hepatitis B virus infection. J Hepatol. 2017;67(2):370-398. doi:10.1016/j.jhep.2017.03.021.</w:t>
      </w:r>
    </w:p>
    <w:p>
      <w:pPr>
        <w:pStyle w:val="ListNumber"/>
      </w:pPr>
      <w:r>
        <w:rPr>
          <w:rFonts w:ascii="Times New Roman" w:hAnsi="Times New Roman"/>
        </w:rPr>
        <w:t>Campbell C, Wang T, McNaughton AL, Barnes E, Matthews PC. Risk factors for the development of hepatocellular carcinoma (HCC) in chronic hepatitis B virus (HBV) infection: a systematic review and meta-analysis. J Viral Hepat. 2021;28(3):493-507. doi:10.1111/jvh.13452.</w:t>
      </w:r>
    </w:p>
    <w:p>
      <w:pPr>
        <w:pStyle w:val="ListNumber"/>
      </w:pPr>
      <w:r>
        <w:rPr>
          <w:rFonts w:ascii="Times New Roman" w:hAnsi="Times New Roman"/>
        </w:rPr>
        <w:t>Lin CL, Kao JH. Review article: the prevention of hepatitis B-related hepatocellular carcinoma. Aliment Pharmacol Ther. 2018;48(1):5-14. doi:10.1111/apt.14683.</w:t>
      </w:r>
    </w:p>
    <w:p>
      <w:pPr>
        <w:pStyle w:val="ListNumber"/>
      </w:pPr>
      <w:r>
        <w:rPr>
          <w:rFonts w:ascii="Times New Roman" w:hAnsi="Times New Roman"/>
        </w:rPr>
        <w:t>Xu C, Zhou W, Wang Y, Qiao L. Hepatitis B virus-induced hepatocellular carcinoma. Cancer Lett. 2014;345(2):216-22. doi:10.1016/j.canlet.2013.08.035.</w:t>
      </w:r>
    </w:p>
    <w:p>
      <w:pPr>
        <w:pStyle w:val="ListNumber"/>
      </w:pPr>
      <w:r>
        <w:rPr>
          <w:rFonts w:ascii="Times New Roman" w:hAnsi="Times New Roman"/>
        </w:rPr>
        <w:t>Akrami H, Monjezi MR, Ilbeigi S, Amiri F, Fattahi MR. The Association Between Hepatitis B Virus Mutations and the Risk of Liver Disease and Hepatocellular Carcinoma. Curr Mol Med. 2022;22(6):514-523. doi:10.2174/1566524021666210816094412.</w:t>
      </w:r>
    </w:p>
    <w:p>
      <w:pPr>
        <w:pStyle w:val="ListNumber"/>
      </w:pPr>
      <w:r>
        <w:rPr>
          <w:rFonts w:ascii="Times New Roman" w:hAnsi="Times New Roman"/>
        </w:rPr>
        <w:t>Liu S, Zhang H, Gu C, Yin J, He Y, Xie J, et al. Associations between hepatitis B virus mutations and the risk of hepatocellular carcinoma: a meta-analysis. J Natl Cancer Inst. 2009;101(15):1066-82. doi:10.1093/jnci/djp180.</w:t>
      </w:r>
    </w:p>
    <w:p>
      <w:pPr>
        <w:pStyle w:val="ListNumber"/>
      </w:pPr>
      <w:r>
        <w:rPr>
          <w:rFonts w:ascii="Times New Roman" w:hAnsi="Times New Roman"/>
        </w:rPr>
        <w:t>Chan HL, Hui AY, Wong ML, Tse AM, Hung LC, Wong VW, et al. Genotype C hepatitis B virus infection is associated with an increased risk of hepatocellular carcinoma. Gut. 2004;53(10):1494-8. doi:10.1136/gut.2003.033324.</w:t>
      </w:r>
    </w:p>
    <w:p>
      <w:pPr>
        <w:pStyle w:val="ListNumber"/>
      </w:pPr>
      <w:r>
        <w:rPr>
          <w:rFonts w:ascii="Times New Roman" w:hAnsi="Times New Roman"/>
        </w:rPr>
        <w:t>Kao JH. Hepatitis B virus genotypes and hepatocellular carcinoma in Taiwan. Intervirology. 2003;46(6):400-7. doi:10.1159/000074999.</w:t>
      </w:r>
    </w:p>
    <w:p>
      <w:pPr>
        <w:pStyle w:val="ListNumber"/>
      </w:pPr>
      <w:r>
        <w:rPr>
          <w:rFonts w:ascii="Times New Roman" w:hAnsi="Times New Roman"/>
        </w:rPr>
        <w:t>Kim DW, Lee SA, Hwang ES, Kook YH, Kim BJ. Naturally occurring precore/core region mutations of hepatitis B virus genotype C related to hepatocellular carcinoma. PLoS One. 2012;7(10):e47372. doi:10.1371/journal.pone.0047372.</w:t>
      </w:r>
    </w:p>
    <w:p>
      <w:pPr>
        <w:pStyle w:val="ListNumber"/>
      </w:pPr>
      <w:r>
        <w:rPr>
          <w:rFonts w:ascii="Times New Roman" w:hAnsi="Times New Roman"/>
        </w:rPr>
        <w:t>Kumar R. Review on hepatitis B virus precore/core promoter mutations and their correlation with genotypes and liver disease severity. World J Hepatol. 2022;14(4):708-718. doi:10.4254/wjh.v14.i4.708.</w:t>
      </w:r>
    </w:p>
    <w:p>
      <w:pPr>
        <w:pStyle w:val="ListNumber"/>
      </w:pPr>
      <w:r>
        <w:rPr>
          <w:rFonts w:ascii="Times New Roman" w:hAnsi="Times New Roman"/>
        </w:rPr>
        <w:t>Wen J, Song C, Jiang D, Jin T, Dai J, Zhu L, et al. Hepatitis B virus genotype, mutations, human leukocyte antigen polymorphisms and their interactions in hepatocellular carcinoma: a multi-centre case-control study. Sci Rep. 2015;5:16489. doi:10.1038/srep16489.</w:t>
      </w:r>
    </w:p>
    <w:p>
      <w:pPr>
        <w:pStyle w:val="ListNumber"/>
      </w:pPr>
      <w:r>
        <w:rPr>
          <w:rFonts w:ascii="Times New Roman" w:hAnsi="Times New Roman"/>
        </w:rPr>
        <w:t>An P, Xu J, Yu Y, Winkler CA. Host and Viral Genetic Variation in HBV-Related Hepatocellular Carcinoma. Front Genet. 2018;9:261. doi:10.3389/fgene.2018.00261.</w:t>
      </w:r>
    </w:p>
    <w:p>
      <w:pPr>
        <w:pStyle w:val="ListNumber"/>
      </w:pPr>
      <w:r>
        <w:rPr>
          <w:rFonts w:ascii="Times New Roman" w:hAnsi="Times New Roman"/>
        </w:rPr>
        <w:t>Sugiyama M, Nishida N, Khor SS, Shin-I T, Hino K, Honda M, et al. Human Leukocyte Antigen Genotypes Affect Hepatitis B Virus Mutations Associated With Hepatocellular Carcinoma. Hepatol Res. 2025;55(11):1445-1453. doi:10.1111/hepr.70007.</w:t>
      </w:r>
    </w:p>
    <w:p>
      <w:pPr>
        <w:pStyle w:val="ListNumber"/>
      </w:pPr>
      <w:r>
        <w:rPr>
          <w:rFonts w:ascii="Times New Roman" w:hAnsi="Times New Roman"/>
        </w:rPr>
        <w:t>Zhang T, Huang CJ, Chen HT, Huang YH, Pan MH, Lee MH, et al. HLA-DQB1*03:01 and risk of HBV-related HCC. Hepatology. 2026;83(2):374-386. doi:10.1097/HEP.0000000000001307.</w:t>
      </w:r>
    </w:p>
    <w:p>
      <w:pPr>
        <w:pStyle w:val="ListNumber"/>
      </w:pPr>
      <w:r>
        <w:rPr>
          <w:rFonts w:ascii="Times New Roman" w:hAnsi="Times New Roman"/>
        </w:rPr>
        <w:t>Ji X, Zhang Q, Li B, Du Y, Yin J, Liu W, et al. Impacts of human leukocyte antigen DQ genetic polymorphisms and their interactions with hepatitis B virus mutations on the risks of viral persistence, liver cirrhosis, and hepatocellular carcinoma. Infect Genet Evol. 2014;28:201-9. doi:10.1016/j.meegid.2014.09.032.</w:t>
      </w:r>
    </w:p>
    <w:p>
      <w:pPr>
        <w:pStyle w:val="ListNumber"/>
      </w:pPr>
      <w:r>
        <w:rPr>
          <w:rFonts w:ascii="Times New Roman" w:hAnsi="Times New Roman"/>
        </w:rPr>
        <w:t>Mbarek H, Ochi H, Urabe Y, Kumar V, Kubo M, Hosono N, et al. A genome-wide association study of chronic hepatitis B identified novel risk locus in a Japanese population. Hum Mol Genet. 2011;20(19):3884-92. doi:10.1093/hmg/ddr301.</w:t>
      </w:r>
    </w:p>
    <w:p>
      <w:pPr>
        <w:pStyle w:val="ListNumber"/>
      </w:pPr>
      <w:r>
        <w:rPr>
          <w:rFonts w:ascii="Times New Roman" w:hAnsi="Times New Roman"/>
        </w:rPr>
        <w:t>Hu Z, Liu Y, Zhai X, Dai J, Jin G, Wang L, et al. New loci associated with chronic hepatitis B virus infection in Han Chinese. Nat Genet. 2013;45(12):1499-503. doi:10.1038/ng.2809.</w:t>
      </w:r>
    </w:p>
    <w:p>
      <w:pPr>
        <w:pStyle w:val="ListNumber"/>
      </w:pPr>
      <w:r>
        <w:rPr>
          <w:rFonts w:ascii="Times New Roman" w:hAnsi="Times New Roman"/>
        </w:rPr>
        <w:t>Kim YJ, Kim HY, Lee JH, Yu SJ, Yoon JH, Lee HS, et al. A genome-wide association study identified new variants associated with the risk of chronic hepatitis B. Hum Mol Genet. 2013;22(20):4233-8. doi:10.1093/hmg/ddt266.</w:t>
      </w:r>
    </w:p>
    <w:p>
      <w:pPr>
        <w:pStyle w:val="ListNumber"/>
      </w:pPr>
      <w:r>
        <w:rPr>
          <w:rFonts w:ascii="Times New Roman" w:hAnsi="Times New Roman"/>
        </w:rPr>
        <w:t>Hu L, Zhai X, Liu J, Chu M, Pan S, Jiang J, et al. Genetic variants in human leukocyte antigen/DP-DQ influence both hepatitis B virus clearance and hepatocellular carcinoma development. Hepatology. 2012;55(5):1426-31. doi:10.1002/hep.24799.</w:t>
      </w:r>
    </w:p>
    <w:p>
      <w:pPr>
        <w:pStyle w:val="ListNumber"/>
      </w:pPr>
      <w:r>
        <w:rPr>
          <w:rFonts w:ascii="Times New Roman" w:hAnsi="Times New Roman"/>
        </w:rPr>
        <w:t>Xiang X, Guo Y, Yang L, Ge Q, Mijit S, Xu F. Association of human leukocyte antigen DP/DQ gene polymorphisms with chronic hepatitis B in Chinese Han and Uygur populations. Infect Genet Evol. 2016;43:407-11. doi:10.1016/j.meegid.2016.06.022.</w:t>
      </w:r>
    </w:p>
    <w:p>
      <w:pPr>
        <w:pStyle w:val="ListNumber"/>
      </w:pPr>
      <w:r>
        <w:rPr>
          <w:rFonts w:ascii="Times New Roman" w:hAnsi="Times New Roman"/>
        </w:rPr>
        <w:t>Ochi Y, Hashimoto S, Kawabe N, Murao M, Nakano T, Kan T, et al. HLA-DQ gene polymorphisms are associated with hepatocellular carcinoma and hepatitis B surface antigen in chronic hepatitis B virus infection. Hepatol Res. 2017;47(8):755-766. doi:10.1111/hepr.12812.</w:t>
      </w:r>
    </w:p>
    <w:p>
      <w:pPr>
        <w:pStyle w:val="ListNumber"/>
      </w:pPr>
      <w:r>
        <w:rPr>
          <w:rFonts w:ascii="Times New Roman" w:hAnsi="Times New Roman"/>
        </w:rPr>
        <w:t>Gao X, Liu W, Zhang X, Tang L, Wang L, Yan L, et al. Genetic polymorphism of HLA-DQ confers susceptibility to hepatitis B virus-related hepatocellular carcinoma: a case-control study in Han population in China. Tumour Biol. 2016;37(9):12103-12111. doi:10.1007/s13277-016-5077-z.</w:t>
      </w:r>
    </w:p>
    <w:p>
      <w:pPr>
        <w:pStyle w:val="ListNumber"/>
      </w:pPr>
      <w:r>
        <w:rPr>
          <w:rFonts w:ascii="Times New Roman" w:hAnsi="Times New Roman"/>
        </w:rPr>
        <w:t>Kim LH, Cheong HS, Namgoong S, Kim JO, Kim JH, Park BL, et al. Replication of genome wide association studies on hepatocellular carcinoma susceptibility loci of STAT4 and HLA-DQ in a Korean population. Infect Genet Evol. 2015;33:72-6. doi:10.1016/j.meegid.2015.04.013.</w:t>
      </w:r>
    </w:p>
    <w:p>
      <w:pPr>
        <w:pStyle w:val="ListNumber"/>
      </w:pPr>
      <w:r>
        <w:rPr>
          <w:rFonts w:ascii="Times New Roman" w:hAnsi="Times New Roman"/>
        </w:rPr>
        <w:t>Liu C, Cheng B. Association of polymorphisms of human leucocyte antigen-DQA1 and DQB1 alleles with chronic hepatitis B virus infection, liver cirrhosis and hepatocellular carcinoma in Chinese. Int J Immunogenet. 2007;34(5):373-8. doi:10.1111/j.1744-313X.2007.00702.x.</w:t>
      </w:r>
    </w:p>
    <w:p>
      <w:pPr>
        <w:pStyle w:val="ListNumber"/>
      </w:pPr>
      <w:r>
        <w:rPr>
          <w:rFonts w:ascii="Times New Roman" w:hAnsi="Times New Roman"/>
        </w:rPr>
        <w:t>Ou G, Xu H, Yu H, Liu X, Yang L, Ji X, et al. The roles of HLA-DQB1 gene polymorphisms in hepatitis B virus infection. J Transl Med. 2018;16(1):362. doi:10.1186/s12967-018-1716-z.</w:t>
      </w:r>
    </w:p>
    <w:p>
      <w:pPr>
        <w:pStyle w:val="ListNumber"/>
      </w:pPr>
      <w:r>
        <w:rPr>
          <w:rFonts w:ascii="Times New Roman" w:hAnsi="Times New Roman"/>
        </w:rPr>
        <w:t>Al-Qahtani AA, Al-Anazi MR, Abdo AA, Sanai FM, Al-Hamoudi W, Alswat KA, et al. Association between HLA variations and chronic hepatitis B virus infection in Saudi Arabian patients. PLoS One. 2014;9(1):e80445. doi:10.1371/journal.pone.0080445.</w:t>
      </w:r>
    </w:p>
    <w:p>
      <w:pPr>
        <w:pStyle w:val="ListNumber"/>
      </w:pPr>
      <w:r>
        <w:rPr>
          <w:rFonts w:ascii="Times New Roman" w:hAnsi="Times New Roman"/>
        </w:rPr>
        <w:t>Tao J, Su K, Yu C, Liu X, Wu W, Xu W, et al. Fine mapping analysis of HLA-DP/DQ gene clusters on chromosome 6 reveals multiple susceptibility loci for HBV infection. Amino Acids. 2015;47(12):2623-34. doi:10.1007/s00726-015-2054-6.</w:t>
      </w:r>
    </w:p>
    <w:p>
      <w:pPr>
        <w:pStyle w:val="ListNumber"/>
      </w:pPr>
      <w:r>
        <w:rPr>
          <w:rFonts w:ascii="Times New Roman" w:hAnsi="Times New Roman"/>
        </w:rPr>
        <w:t>Kozuka R, Enomoto M, Sato-Matsubara M, Yoshida K, Motoyama H, Hagihara A, et al. Association between HLA-DQA1/DRB1 polymorphism and development of hepatocellular carcinoma during entecavir treatment. J Gastroenterol Hepatol. 2019;34(5):937-946. doi:10.1111/jgh.14454.</w:t>
      </w:r>
    </w:p>
    <w:p>
      <w:pPr>
        <w:pStyle w:val="ListNumber"/>
      </w:pPr>
      <w:r>
        <w:rPr>
          <w:rFonts w:ascii="Times New Roman" w:hAnsi="Times New Roman"/>
        </w:rPr>
        <w:t>Ferrari C, Bertoletti A, Penna A, Cavalli A, Valli A, Missale G, et al. Identification of immunodominant T cell epitopes of the hepatitis B virus nucleocapsid antigen. J Clin Invest. 1991;88(1):214-22. doi:10.1172/JCI115280.</w:t>
      </w:r>
    </w:p>
    <w:p>
      <w:pPr>
        <w:pStyle w:val="ListNumber"/>
      </w:pPr>
      <w:r>
        <w:rPr>
          <w:rFonts w:ascii="Times New Roman" w:hAnsi="Times New Roman"/>
        </w:rPr>
        <w:t>Jung MC, Diepolder HM, Spengler U, Wierenga EA, Zachoval R, Hoffmann RM, et al. Activation of a heterogeneous hepatitis B (HB) core and e antigen-specific CD4+ T-cell population during seroconversion to anti-HBe and anti-HBs in hepatitis B virus infection. J Virol. 1995;69(6):3358-68. doi:10.1128/JVI.69.6.3358-3368.1995.</w:t>
      </w:r>
    </w:p>
    <w:p>
      <w:pPr>
        <w:pStyle w:val="ListNumber"/>
      </w:pPr>
      <w:r>
        <w:rPr>
          <w:rFonts w:ascii="Times New Roman" w:hAnsi="Times New Roman"/>
        </w:rPr>
        <w:t>Marinos G, Torre F, Chokshi S, Hussain M, Clarke BE, Rowlands DJ, et al. Induction of T-helper cell response to hepatitis B core antigen in chronic hepatitis B: a major factor in activation of the host immune response to the hepatitis B virus. Hepatology. 1995;22(4 Pt 1):1040-9. doi:10.1016/0270-9139(95)90607-x.</w:t>
      </w:r>
    </w:p>
    <w:p>
      <w:pPr>
        <w:pStyle w:val="ListNumber"/>
      </w:pPr>
      <w:r>
        <w:rPr>
          <w:rFonts w:ascii="Times New Roman" w:hAnsi="Times New Roman"/>
        </w:rPr>
        <w:t>Diepolder HM, Jung MC, Keller E, Schraut W, Gerlach JT, Grüner N, et al. A vigorous virus-specific CD4+ T cell response may contribute to the association of HLA-DR13 with viral clearance in hepatitis B. Clin Exp Immunol. 1998;113(2):244-51. doi:10.1046/j.1365-2249.1998.00665.x.</w:t>
      </w:r>
    </w:p>
    <w:p>
      <w:pPr>
        <w:pStyle w:val="ListNumber"/>
      </w:pPr>
      <w:r>
        <w:rPr>
          <w:rFonts w:ascii="Times New Roman" w:hAnsi="Times New Roman"/>
        </w:rPr>
        <w:t>Diepolder HM, Ries G, Jung MC, Schlicht HJ, Gerlach JT, Gr ner N, et al. Differential antigen-processing pathways of the hepatitis B virus e and core proteins. Gastroenterology. 1999;116(3):650-7. doi:10.1016/s0016-5085(99)70187-3.</w:t>
      </w:r>
    </w:p>
    <w:p>
      <w:pPr>
        <w:pStyle w:val="ListNumber"/>
      </w:pPr>
      <w:r>
        <w:rPr>
          <w:rFonts w:ascii="Times New Roman" w:hAnsi="Times New Roman"/>
        </w:rPr>
        <w:t>Cao T, Desombere I, Vanlandschoot P, Sällberg M, Leroux-Roels G. Characterization of HLA DR13-restricted CD4(+) T cell epitopes of hepatitis B core antigen associated with self-limited, acute hepatitis B. J Gen Virol. 2002;83(Pt 12):3023-3033. doi:10.1099/0022-1317-83-12-3023.</w:t>
      </w:r>
    </w:p>
    <w:p>
      <w:pPr>
        <w:pStyle w:val="ListNumber"/>
      </w:pPr>
      <w:r>
        <w:rPr>
          <w:rFonts w:ascii="Times New Roman" w:hAnsi="Times New Roman"/>
        </w:rPr>
        <w:t>Torre F, Cramp M, Owsianka A, Dornan E, Marsden H, Carman W, et al. Direct evidence that naturally occurring mutations within hepatitis B core epitope alter CD4+ T-cell reactivity. J Med Virol. 2004;72(3):370-6. doi:10.1002/jmv.20016.</w:t>
      </w:r>
    </w:p>
    <w:p>
      <w:pPr>
        <w:pStyle w:val="ListNumber"/>
      </w:pPr>
      <w:r>
        <w:rPr>
          <w:rFonts w:ascii="Times New Roman" w:hAnsi="Times New Roman"/>
        </w:rPr>
        <w:t>Hosono S, Tai PC, Wang W, Ambrose M, Hwang DG, Yuan TT, et al. Core antigen mutations of human hepatitis B virus in hepatomas accumulate in MHC class II-restricted T cell epitopes. Virology. 1995;212(1):151-62. doi:10.1006/viro.1995.1463.</w:t>
      </w:r>
    </w:p>
    <w:p>
      <w:pPr>
        <w:pStyle w:val="ListNumber"/>
      </w:pPr>
      <w:r>
        <w:rPr>
          <w:rFonts w:ascii="Times New Roman" w:hAnsi="Times New Roman"/>
        </w:rPr>
        <w:t>Desmond CP, Bartholomeusz A, Gaudieri S, Revill PA, Lewin SR. A systematic review of T-cell epitopes in hepatitis B virus: identification, genotypic variation and relevance to antiviral therapeutics. Antivir Ther. 2008;13(2):161-75.</w:t>
      </w:r>
    </w:p>
    <w:p>
      <w:pPr>
        <w:pStyle w:val="ListNumber"/>
      </w:pPr>
      <w:r>
        <w:rPr>
          <w:rFonts w:ascii="Times New Roman" w:hAnsi="Times New Roman"/>
        </w:rPr>
        <w:t>Park JJ, Wong DK, Wahed AS, Lee WM, Feld JJ, Terrault N, et al. Hepatitis B Virus--Specific and Global T-Cell Dysfunction in Chronic Hepatitis B. Gastroenterology. 2016;150(3):684-695.e5. doi:10.1053/j.gastro.2015.11.050.</w:t>
      </w:r>
    </w:p>
    <w:p>
      <w:pPr>
        <w:pStyle w:val="ListNumber"/>
      </w:pPr>
      <w:r>
        <w:rPr>
          <w:rFonts w:ascii="Times New Roman" w:hAnsi="Times New Roman"/>
        </w:rPr>
        <w:t>Peng G, Li S, Wu W, Tan X, Chen Y, Chen Z. PD-1 upregulation is associated with HBV-specific T cell dysfunction in chronic hepatitis B patients. Mol Immunol. 2008;45(4):963-70. doi:10.1016/j.molimm.2007.07.038.</w:t>
      </w:r>
    </w:p>
    <w:p>
      <w:pPr>
        <w:pStyle w:val="ListNumber"/>
      </w:pPr>
      <w:r>
        <w:rPr>
          <w:rFonts w:ascii="Times New Roman" w:hAnsi="Times New Roman"/>
        </w:rPr>
        <w:t>Watanabe T, Bertoletti A, Tanoto TA. PD-1/PD-L1 pathway and T-cell exhaustion in chronic hepatitis virus infection. J Viral Hepat. 2010;17(7):453-8. doi:10.1111/j.1365-2893.2010.01313.x.</w:t>
      </w:r>
    </w:p>
    <w:p>
      <w:pPr>
        <w:pStyle w:val="ListNumber"/>
      </w:pPr>
      <w:r>
        <w:rPr>
          <w:rFonts w:ascii="Times New Roman" w:hAnsi="Times New Roman"/>
        </w:rPr>
        <w:t>Ye B, Liu X, Li X, Kong H, Tian L, Chen Y. T-cell exhaustion in chronic hepatitis B infection: current knowledge and clinical significance. Cell Death Dis. 2015;6(3):e1694. doi:10.1038/cddis.2015.42.</w:t>
      </w:r>
    </w:p>
    <w:p>
      <w:pPr>
        <w:pStyle w:val="ListNumber"/>
      </w:pPr>
      <w:r>
        <w:rPr>
          <w:rFonts w:ascii="Times New Roman" w:hAnsi="Times New Roman"/>
        </w:rPr>
        <w:t>Dong Y, Li X, Zhang L, Zhu Q, Chen C, Bao J, et al. CD4+ T cell exhaustion revealed by high PD-1 and LAG-3 expression and the loss of helper T cell function in chronic hepatitis B. BMC Immunol. 2019;20(1):27. doi:10.1186/s12865-019-0309-9.</w:t>
      </w:r>
    </w:p>
    <w:p>
      <w:pPr>
        <w:pStyle w:val="ListNumber"/>
      </w:pPr>
      <w:r>
        <w:rPr>
          <w:rFonts w:ascii="Times New Roman" w:hAnsi="Times New Roman"/>
        </w:rPr>
        <w:t>Wen C, Zhou Y, Zhou Y, Wang Y, Dong Z, Gu S, et al. HBV Core-specific CD4+ T cells correlate with sustained viral control upon off-treatment in HBeAg-positive chronic hepatitis B patients. Antiviral Res. 2023;213:105585. doi:10.1016/j.antiviral.2023.105585.</w:t>
      </w:r>
    </w:p>
    <w:p>
      <w:pPr>
        <w:pStyle w:val="ListNumber"/>
      </w:pPr>
      <w:r>
        <w:rPr>
          <w:rFonts w:ascii="Times New Roman" w:hAnsi="Times New Roman"/>
        </w:rPr>
        <w:t>Cheng Y, Gunasegaran B, Singh HD, Dutertre CA, Loh CY, Lim JQ, et al. Non-terminally exhausted tumor-resident memory HBV-specific T cell responses correlate with relapse-free survival in hepatocellular carcinoma. Immunity. 2021;54(8):1825-1840.e7. doi:10.1016/j.immuni.2021.06.013.</w:t>
      </w:r>
    </w:p>
    <w:p>
      <w:pPr>
        <w:pStyle w:val="ListNumber"/>
      </w:pPr>
      <w:r>
        <w:rPr>
          <w:rFonts w:ascii="Times New Roman" w:hAnsi="Times New Roman"/>
        </w:rPr>
        <w:t>Chua C, Salimzadeh L, Ma AT, Adeyi OA, Seo H, Boukhaled GM, et al. IL-2 produced by HBV-specific T cells as a biomarker of viral control and predictor of response to PD-1 therapy across clinical phases of chronic hepatitis B. Hepatol Commun. 2023;7(12):e0337. doi:10.1097/HC9.0000000000000337.</w:t>
      </w:r>
    </w:p>
    <w:p>
      <w:pPr>
        <w:pStyle w:val="ListNumber"/>
      </w:pPr>
      <w:r>
        <w:rPr>
          <w:rFonts w:ascii="Times New Roman" w:hAnsi="Times New Roman"/>
        </w:rPr>
        <w:t>Choga WT, Anderson M, Zumbika E, Phinius BB, Mbangiwa T, Bhebhe LN, et al. In Silico Prediction of Human Leukocytes Antigen (HLA) Class II Binding Hepatitis B Virus (HBV) Peptides in Botswana. Viruses. 2020;12(7):731. doi:10.3390/v12070731.</w:t>
      </w:r>
    </w:p>
    <w:p>
      <w:pPr>
        <w:pStyle w:val="ListNumber"/>
      </w:pPr>
      <w:r>
        <w:rPr>
          <w:rFonts w:ascii="Times New Roman" w:hAnsi="Times New Roman"/>
        </w:rPr>
        <w:t>Srivastava M, Copin R, Choy A, Zhou A, Olsen O, Wolf S, et al. Proteogenomic identification of Hepatitis B virus (HBV) genotype-specific HLA-I restricted peptides from HBV-positive patient liver tissues. Front Immunol. 2022;13:1032716. doi:10.3389/fimmu.2022.1032716.</w:t>
      </w:r>
    </w:p>
    <w:p>
      <w:pPr>
        <w:pStyle w:val="ListNumber"/>
      </w:pPr>
      <w:r>
        <w:rPr>
          <w:rFonts w:ascii="Times New Roman" w:hAnsi="Times New Roman"/>
        </w:rPr>
        <w:t>Xu ZM, Gnouamozi GE, Rüeger S, Shea PR, Buti M, Chan HL, et al. Joint host-pathogen genomic analysis identifies hepatitis B virus mutations associated with human NTCP and HLA class I variation. Am J Hum Genet. 2024;111(6):1018-1034. doi:10.1016/j.ajhg.2024.04.013.</w:t>
      </w:r>
    </w:p>
    <w:p>
      <w:pPr>
        <w:pStyle w:val="ListNumber"/>
      </w:pPr>
      <w:r>
        <w:rPr>
          <w:rFonts w:ascii="Times New Roman" w:hAnsi="Times New Roman"/>
        </w:rPr>
        <w:t>Vita R, Blazeska N, Marrama D, IEDB Curation Team Members, Duesing S, Bennett J, et al. The Immune Epitope Database (IEDB): 2024 update. Nucleic Acids Res. 2025;53(D1):D436-D443. doi:10.1093/nar/gkae1092.</w:t>
      </w:r>
    </w:p>
    <w:p>
      <w:pPr>
        <w:pStyle w:val="ListNumber"/>
      </w:pPr>
      <w:r>
        <w:rPr>
          <w:rFonts w:ascii="Times New Roman" w:hAnsi="Times New Roman"/>
        </w:rPr>
        <w:t>Vita R, Mahajan S, Overton JA, Dhanda SK, Martini S, Cantrell JR, et al. The Immune Epitope Database (IEDB): 2018 update. Nucleic Acids Res. 2019;47(D1):D339-D343. doi:10.1093/nar/gky1006.</w:t>
      </w:r>
    </w:p>
    <w:p>
      <w:pPr>
        <w:pStyle w:val="ListNumber"/>
      </w:pPr>
      <w:r>
        <w:rPr>
          <w:rFonts w:ascii="Times New Roman" w:hAnsi="Times New Roman"/>
        </w:rPr>
        <w:t>Dhanda SK, Mahajan S, Paul S, Yan Z, Kim H, Jespersen MC, et al. IEDB-AR: immune epitope database-analysis resource in 2019. Nucleic Acids Res. 2019;47(W1):W502-W506. doi:10.1093/nar/gkz452.</w:t>
      </w:r>
    </w:p>
    <w:p>
      <w:pPr>
        <w:pStyle w:val="ListNumber"/>
      </w:pPr>
      <w:r>
        <w:rPr>
          <w:rFonts w:ascii="Times New Roman" w:hAnsi="Times New Roman"/>
        </w:rPr>
        <w:t>Kim Y, Ponomarenko J, Zhu Z, Tamang D, Wang P, Greenbaum J, et al. Immune epitope database analysis resource. Nucleic Acids Res. 2012;40(Web Server issue):W525-30. doi:10.1093/nar/gks438.</w:t>
      </w:r>
    </w:p>
    <w:p>
      <w:pPr>
        <w:pStyle w:val="ListNumber"/>
      </w:pPr>
      <w:r>
        <w:rPr>
          <w:rFonts w:ascii="Times New Roman" w:hAnsi="Times New Roman"/>
        </w:rPr>
        <w:t>Kim Y, Sette A, Peters B. Applications for T-cell epitope queries and tools in the Immune Epitope Database and Analysis Resource. J Immunol Methods. 2011;374(1-2):62-9. doi:10.1016/j.jim.2010.10.010.</w:t>
      </w:r>
    </w:p>
    <w:p>
      <w:pPr>
        <w:pStyle w:val="ListNumber"/>
      </w:pPr>
      <w:r>
        <w:rPr>
          <w:rFonts w:ascii="Times New Roman" w:hAnsi="Times New Roman"/>
        </w:rPr>
        <w:t>Reynisson B, Alvarez B, Paul S, Peters B, Nielsen M. NetMHCpan-4.1 and NetMHCIIpan-4.0: improved predictions of MHC antigen presentation by concurrent motif deconvolution and integration of MS MHC eluted ligand data. Nucleic Acids Res. 2020;48(W1):W449-W454. doi:10.1093/nar/gkaa379.</w:t>
      </w:r>
    </w:p>
    <w:p>
      <w:pPr>
        <w:pStyle w:val="ListNumber"/>
      </w:pPr>
      <w:r>
        <w:rPr>
          <w:rFonts w:ascii="Times New Roman" w:hAnsi="Times New Roman"/>
        </w:rPr>
        <w:t>Karosiene E, Rasmussen M, Blicher T, Lund O, Buus S, Nielsen M. NetMHCIIpan-3.0, a common pan-specific MHC class II prediction method including all three human MHC class II isotypes, HLA-DR, HLA-DP and HLA-DQ. Immunogenetics. 2013;65(10):711-24. doi:10.1007/s00251-013-0720-y.</w:t>
      </w:r>
    </w:p>
    <w:p>
      <w:pPr>
        <w:pStyle w:val="ListNumber"/>
      </w:pPr>
      <w:r>
        <w:rPr>
          <w:rFonts w:ascii="Times New Roman" w:hAnsi="Times New Roman"/>
        </w:rPr>
        <w:t>Nielsen M, Justesen S, Lund O, Lundegaard C, Buus S. NetMHCIIpan-2.0 - Improved pan-specific HLA-DR predictions using a novel concurrent alignment and weight optimization training procedure. Immunome Res. 2010;6:9. doi:10.1186/1745-7580-6-9.</w:t>
      </w:r>
    </w:p>
    <w:p>
      <w:pPr>
        <w:pStyle w:val="ListNumber"/>
      </w:pPr>
      <w:r>
        <w:rPr>
          <w:rFonts w:ascii="Times New Roman" w:hAnsi="Times New Roman"/>
        </w:rPr>
        <w:t>Nielsen M, Lundegaard C, Blicher T, Peters B, Sette A, Justesen S, et al. Quantitative predictions of peptide binding to any HLA-DR molecule of known sequence: NetMHCIIpan. PLoS Comput Biol. 2008;4(7):e1000107. doi:10.1371/journal.pcbi.1000107.</w:t>
      </w:r>
    </w:p>
    <w:p>
      <w:pPr>
        <w:pStyle w:val="ListNumber"/>
      </w:pPr>
      <w:r>
        <w:rPr>
          <w:rFonts w:ascii="Times New Roman" w:hAnsi="Times New Roman"/>
        </w:rPr>
        <w:t>Yang Y, Wei Z, Cia G, Song X, Pucci F, Rooman M, et al. MHCII-peptide presentation: an assessment of the state-of-the-art prediction methods. Front Immunol. 2024;15:1293706. doi:10.3389/fimmu.2024.1293706.</w:t>
      </w:r>
    </w:p>
    <w:p>
      <w:pPr>
        <w:pStyle w:val="ListNumber"/>
      </w:pPr>
      <w:r>
        <w:rPr>
          <w:rFonts w:ascii="Times New Roman" w:hAnsi="Times New Roman"/>
        </w:rPr>
        <w:t>Nilsson JB, Kaabinejadian S, Yari H, Kester MGD, van Balen P, Hildebrand WH, et al. Accurate prediction of HLA class II antigen presentation across all loci using tailored data acquisition and refined machine learning. Sci Adv. 2023;9(47):eadj6367. doi:10.1126/sciadv.adj6367.</w:t>
      </w:r>
    </w:p>
    <w:p>
      <w:pPr>
        <w:pStyle w:val="ListNumber"/>
      </w:pPr>
      <w:r>
        <w:rPr>
          <w:rFonts w:ascii="Times New Roman" w:hAnsi="Times New Roman"/>
        </w:rPr>
        <w:t>Jensen KK, Andreatta M, Marcatili P, Buus S, Greenbaum JA, Yan Z, et al. Improved methods for predicting peptide binding affinity to MHC class II molecules. Immunology. 2018;154(3):394-406. doi:10.1111/imm.12889.</w:t>
      </w:r>
    </w:p>
    <w:p>
      <w:pPr>
        <w:pStyle w:val="ListNumber"/>
      </w:pPr>
      <w:r>
        <w:rPr>
          <w:rFonts w:ascii="Times New Roman" w:hAnsi="Times New Roman"/>
        </w:rPr>
        <w:t>Wang P, Sidney J, Kim Y, Sette A, Lund O, Nielsen M, et al. Peptide binding predictions for HLA DR, DP and DQ molecules. BMC Bioinformatics. 2010;11:568. doi:10.1186/1471-2105-11-568.</w:t>
      </w:r>
    </w:p>
    <w:p>
      <w:pPr>
        <w:pStyle w:val="ListNumber"/>
      </w:pPr>
      <w:r>
        <w:rPr>
          <w:rFonts w:ascii="Times New Roman" w:hAnsi="Times New Roman"/>
        </w:rPr>
        <w:t>Stražar M, Park J, Abelin JG, Taylor HB, Pedersen TK, Plichta DR, et al. HLA-II immunopeptidome profiling and deep learning reveal features of antigenicity to inform antigen discovery. Immunity. 2023;56(7):1681-1698.e13. doi:10.1016/j.immuni.2023.05.009.</w:t>
      </w:r>
    </w:p>
    <w:p>
      <w:pPr>
        <w:pStyle w:val="ListNumber"/>
      </w:pPr>
      <w:r>
        <w:rPr>
          <w:rFonts w:ascii="Times New Roman" w:hAnsi="Times New Roman"/>
        </w:rPr>
        <w:t>Sayers EW, Cavanaugh M, Frisse L, Pruitt KD, Schneider VA, Underwood BA, et al. GenBank 2025 update. Nucleic Acids Res. 2025;53(D1):D56-D61. doi:10.1093/nar/gkae1114.</w:t>
      </w:r>
    </w:p>
    <w:p>
      <w:pPr>
        <w:pStyle w:val="ListNumber"/>
      </w:pPr>
      <w:r>
        <w:rPr>
          <w:rFonts w:ascii="Times New Roman" w:hAnsi="Times New Roman"/>
        </w:rPr>
        <w:t>Sayers EW, Cavanaugh M, Clark K, Pruitt KD, Sherry ST, Yankie L, et al. GenBank 2024 Update. Nucleic Acids Res. 2024;52(D1):D134-D137. doi:10.1093/nar/gkad903.</w:t>
      </w:r>
    </w:p>
    <w:p>
      <w:pPr>
        <w:pStyle w:val="ListNumber"/>
      </w:pPr>
      <w:r>
        <w:rPr>
          <w:rFonts w:ascii="Times New Roman" w:hAnsi="Times New Roman"/>
        </w:rPr>
        <w:t>Karsch-Mizrachi I, Nakamura Y, Cochrane G, International Nucleotide Sequence Database Collaboration. The International Nucleotide Sequence Database Collaboration. Nucleic Acids Res. 2012;40(Database issue):D33-7. doi:10.1093/nar/gkr1006.</w:t>
      </w:r>
    </w:p>
    <w:p>
      <w:pPr>
        <w:pStyle w:val="ListNumber"/>
      </w:pPr>
      <w:r>
        <w:rPr>
          <w:rFonts w:ascii="Times New Roman" w:hAnsi="Times New Roman"/>
        </w:rPr>
        <w:t>Kramvis A. Genotypes and genetic variability of hepatitis B virus. Intervirology. 2014;57(3-4):141-50. doi:10.1159/000360947.</w:t>
      </w:r>
    </w:p>
    <w:p>
      <w:pPr>
        <w:pStyle w:val="ListNumber"/>
      </w:pPr>
      <w:r>
        <w:rPr>
          <w:rFonts w:ascii="Times New Roman" w:hAnsi="Times New Roman"/>
        </w:rPr>
        <w:t>Al-Qahtani AA, Al-Anazi MR, Nazir N, Abdo AA, Sanai FM, Al-Hamoudi WK, et al. The Correlation Between Hepatitis B Virus Precore/Core Mutations and the Progression of Severe Liver Disease. Front Cell Infect Microbiol. 2018;8:355. doi:10.3389/fcimb.2018.00355.</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HBV DQB1*03:01 core presentation gap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F6C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6C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