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A018C">
      <w:pPr>
        <w:jc w:val="center"/>
      </w:pPr>
      <w:r>
        <w:rPr>
          <w:rFonts w:ascii="微软雅黑" w:hAnsi="微软雅黑" w:eastAsia="微软雅黑"/>
          <w:b/>
          <w:color w:val="1A1A2E"/>
          <w:sz w:val="44"/>
        </w:rPr>
        <w:t>项目报价系统功能及流程研讨</w:t>
      </w:r>
    </w:p>
    <w:p w14:paraId="6F25D0EC">
      <w:pPr>
        <w:jc w:val="center"/>
      </w:pPr>
      <w:r>
        <w:rPr>
          <w:rFonts w:ascii="微软雅黑" w:hAnsi="微软雅黑" w:eastAsia="微软雅黑"/>
          <w:color w:val="8C8C8C"/>
          <w:sz w:val="32"/>
        </w:rPr>
        <w:t>会议总结</w:t>
      </w:r>
    </w:p>
    <w:p w14:paraId="15036042"/>
    <w:p w14:paraId="04CECEFC">
      <w:pPr>
        <w:jc w:val="center"/>
      </w:pPr>
      <w:r>
        <w:rPr>
          <w:rFonts w:ascii="微软雅黑" w:hAnsi="微软雅黑" w:eastAsia="微软雅黑"/>
          <w:color w:val="666666"/>
          <w:sz w:val="22"/>
        </w:rPr>
        <w:t>时间：2026年8月</w:t>
      </w:r>
      <w:r>
        <w:rPr>
          <w:rFonts w:hint="eastAsia"/>
          <w:color w:val="666666"/>
          <w:sz w:val="22"/>
          <w:lang w:val="en-US" w:eastAsia="zh-CN"/>
        </w:rPr>
        <w:t>15日</w:t>
      </w:r>
      <w:bookmarkStart w:id="0" w:name="_GoBack"/>
      <w:bookmarkEnd w:id="0"/>
      <w:r>
        <w:rPr>
          <w:rFonts w:ascii="微软雅黑" w:hAnsi="微软雅黑" w:eastAsia="微软雅黑"/>
          <w:color w:val="666666"/>
          <w:sz w:val="22"/>
        </w:rPr>
        <w:t>（周六）</w:t>
      </w:r>
      <w:r>
        <w:rPr>
          <w:rFonts w:ascii="微软雅黑" w:hAnsi="微软雅黑" w:eastAsia="微软雅黑"/>
          <w:color w:val="666666"/>
          <w:sz w:val="22"/>
        </w:rPr>
        <w:br w:type="textWrapping"/>
      </w:r>
      <w:r>
        <w:rPr>
          <w:rFonts w:ascii="微软雅黑" w:hAnsi="微软雅黑" w:eastAsia="微软雅黑"/>
          <w:color w:val="666666"/>
          <w:sz w:val="22"/>
        </w:rPr>
        <w:t>主题：报价系统全流程功能、规则及后续开发规划研讨</w:t>
      </w:r>
    </w:p>
    <w:p w14:paraId="0720EDA4"/>
    <w:p w14:paraId="5F04D566">
      <w:pPr>
        <w:pStyle w:val="4"/>
      </w:pPr>
      <w:r>
        <w:rPr>
          <w:rFonts w:ascii="微软雅黑" w:hAnsi="微软雅黑" w:eastAsia="微软雅黑"/>
          <w:color w:val="2F5496"/>
          <w:sz w:val="28"/>
        </w:rPr>
        <w:t>一、报价核心业务规则</w:t>
      </w:r>
    </w:p>
    <w:p w14:paraId="5D708D23">
      <w:pPr>
        <w:pStyle w:val="16"/>
      </w:pPr>
      <w:r>
        <w:rPr>
          <w:rFonts w:ascii="微软雅黑" w:hAnsi="微软雅黑" w:eastAsia="微软雅黑"/>
          <w:b/>
        </w:rPr>
        <w:t>灵活应急机制：</w:t>
      </w:r>
      <w:r>
        <w:rPr>
          <w:rFonts w:ascii="微软雅黑" w:hAnsi="微软雅黑" w:eastAsia="微软雅黑"/>
        </w:rPr>
        <w:t>急单场景下支持先修改报价后消息确认、再补录流程；口头沟通确认同样有效</w:t>
      </w:r>
    </w:p>
    <w:p w14:paraId="7D8CAC45">
      <w:pPr>
        <w:pStyle w:val="16"/>
      </w:pPr>
      <w:r>
        <w:rPr>
          <w:rFonts w:ascii="微软雅黑" w:hAnsi="微软雅黑" w:eastAsia="微软雅黑"/>
          <w:b/>
        </w:rPr>
        <w:t>强制系统录入：</w:t>
      </w:r>
      <w:r>
        <w:rPr>
          <w:rFonts w:ascii="微软雅黑" w:hAnsi="微软雅黑" w:eastAsia="微软雅黑"/>
        </w:rPr>
        <w:t>所有报价单必须进入系统，报价单与合同强关联，未录入则合同流程无法推进</w:t>
      </w:r>
    </w:p>
    <w:p w14:paraId="7B95C8EE">
      <w:pPr>
        <w:pStyle w:val="16"/>
      </w:pPr>
      <w:r>
        <w:rPr>
          <w:rFonts w:ascii="微软雅黑" w:hAnsi="微软雅黑" w:eastAsia="微软雅黑"/>
          <w:b/>
        </w:rPr>
        <w:t>功能清单与报价耦合：</w:t>
      </w:r>
      <w:r>
        <w:rPr>
          <w:rFonts w:ascii="微软雅黑" w:hAnsi="微软雅黑" w:eastAsia="微软雅黑"/>
        </w:rPr>
        <w:t>功能清单不单独设置，依附于报价单；报价确认后方可进入合同环节</w:t>
      </w:r>
    </w:p>
    <w:p w14:paraId="0BEEE7B8">
      <w:pPr>
        <w:pStyle w:val="16"/>
      </w:pPr>
      <w:r>
        <w:rPr>
          <w:rFonts w:ascii="微软雅黑" w:hAnsi="微软雅黑" w:eastAsia="微软雅黑"/>
          <w:b/>
        </w:rPr>
        <w:t>已盖章报价单修改：</w:t>
      </w:r>
      <w:r>
        <w:rPr>
          <w:rFonts w:ascii="微软雅黑" w:hAnsi="微软雅黑" w:eastAsia="微软雅黑"/>
        </w:rPr>
        <w:t>必须先作废原单才能生成新单，作废后的报价单不再被合同引用</w:t>
      </w:r>
    </w:p>
    <w:p w14:paraId="39F02DA2">
      <w:pPr>
        <w:pStyle w:val="4"/>
      </w:pPr>
      <w:r>
        <w:rPr>
          <w:rFonts w:ascii="微软雅黑" w:hAnsi="微软雅黑" w:eastAsia="微软雅黑"/>
          <w:color w:val="2F5496"/>
          <w:sz w:val="28"/>
        </w:rPr>
        <w:t>二、核心功能模块</w:t>
      </w:r>
    </w:p>
    <w:p w14:paraId="5384674C">
      <w:pPr>
        <w:pStyle w:val="5"/>
      </w:pPr>
      <w:r>
        <w:rPr>
          <w:rFonts w:ascii="微软雅黑" w:hAnsi="微软雅黑" w:eastAsia="微软雅黑"/>
          <w:color w:val="444444"/>
          <w:sz w:val="24"/>
        </w:rPr>
        <w:t>功能列表工作台</w:t>
      </w:r>
    </w:p>
    <w:p w14:paraId="650C663D">
      <w:pPr>
        <w:pStyle w:val="16"/>
      </w:pPr>
      <w:r>
        <w:rPr>
          <w:rFonts w:ascii="微软雅黑" w:hAnsi="微软雅黑" w:eastAsia="微软雅黑"/>
        </w:rPr>
        <w:t>全在线创建，支持自定义端（如"中控端""iPad端"）及其名称</w:t>
      </w:r>
    </w:p>
    <w:p w14:paraId="54A018E5">
      <w:pPr>
        <w:pStyle w:val="16"/>
      </w:pPr>
      <w:r>
        <w:rPr>
          <w:rFonts w:ascii="微软雅黑" w:hAnsi="微软雅黑" w:eastAsia="微软雅黑"/>
        </w:rPr>
        <w:t>一级模块和子功能均可增删改，删除操作按是否有内容区分是否需要二次确认</w:t>
      </w:r>
    </w:p>
    <w:p w14:paraId="16CE4F0D">
      <w:pPr>
        <w:pStyle w:val="16"/>
      </w:pPr>
      <w:r>
        <w:rPr>
          <w:rFonts w:ascii="微软雅黑" w:hAnsi="微软雅黑" w:eastAsia="微软雅黑"/>
        </w:rPr>
        <w:t>配备快速定位菜单，适配100~200项功能的复杂项目场景</w:t>
      </w:r>
    </w:p>
    <w:p w14:paraId="57C78974">
      <w:pPr>
        <w:pStyle w:val="5"/>
      </w:pPr>
      <w:r>
        <w:rPr>
          <w:rFonts w:ascii="微软雅黑" w:hAnsi="微软雅黑" w:eastAsia="微软雅黑"/>
          <w:color w:val="444444"/>
          <w:sz w:val="24"/>
        </w:rPr>
        <w:t>工时评估与统计</w:t>
      </w:r>
    </w:p>
    <w:p w14:paraId="61306F8C">
      <w:pPr>
        <w:pStyle w:val="16"/>
      </w:pPr>
      <w:r>
        <w:rPr>
          <w:rFonts w:ascii="微软雅黑" w:hAnsi="微软雅黑" w:eastAsia="微软雅黑"/>
        </w:rPr>
        <w:t>提交工时评估后功能清单变为只读，流程流转至审批人处</w:t>
      </w:r>
    </w:p>
    <w:p w14:paraId="39913F1A">
      <w:pPr>
        <w:pStyle w:val="16"/>
      </w:pPr>
      <w:r>
        <w:rPr>
          <w:rFonts w:ascii="微软雅黑" w:hAnsi="微软雅黑" w:eastAsia="微软雅黑"/>
        </w:rPr>
        <w:t>已提交支持撤回，但下一步启动后不可撤回（状态机规则）</w:t>
      </w:r>
    </w:p>
    <w:p w14:paraId="201A5930">
      <w:pPr>
        <w:pStyle w:val="16"/>
      </w:pPr>
      <w:r>
        <w:rPr>
          <w:rFonts w:ascii="微软雅黑" w:hAnsi="微软雅黑" w:eastAsia="微软雅黑"/>
        </w:rPr>
        <w:t>合并工时后解除合并时数值保留继承；合并时自动求和展示</w:t>
      </w:r>
    </w:p>
    <w:p w14:paraId="74BB675C">
      <w:pPr>
        <w:pStyle w:val="16"/>
      </w:pPr>
      <w:r>
        <w:rPr>
          <w:rFonts w:ascii="微软雅黑" w:hAnsi="微软雅黑" w:eastAsia="微软雅黑"/>
        </w:rPr>
        <w:t>待优化：全部填完工时后的合并寄存逻辑</w:t>
      </w:r>
    </w:p>
    <w:p w14:paraId="7929693D">
      <w:pPr>
        <w:pStyle w:val="5"/>
      </w:pPr>
      <w:r>
        <w:rPr>
          <w:rFonts w:ascii="微软雅黑" w:hAnsi="微软雅黑" w:eastAsia="微软雅黑"/>
          <w:color w:val="444444"/>
          <w:sz w:val="24"/>
        </w:rPr>
        <w:t>工时统计与岗位配置</w:t>
      </w:r>
    </w:p>
    <w:p w14:paraId="53992761">
      <w:pPr>
        <w:pStyle w:val="16"/>
      </w:pPr>
      <w:r>
        <w:rPr>
          <w:rFonts w:ascii="微软雅黑" w:hAnsi="微软雅黑" w:eastAsia="微软雅黑"/>
        </w:rPr>
        <w:t>自动多维统计：按岗位占比、分模块、分端统计，展示总人天构成</w:t>
      </w:r>
    </w:p>
    <w:p w14:paraId="3325E549">
      <w:pPr>
        <w:pStyle w:val="16"/>
      </w:pPr>
      <w:r>
        <w:rPr>
          <w:rFonts w:ascii="微软雅黑" w:hAnsi="微软雅黑" w:eastAsia="微软雅黑"/>
        </w:rPr>
        <w:t>支持自定义岗位名称（当前需先选列表项后再输入，待优化）、新增/删除岗位</w:t>
      </w:r>
    </w:p>
    <w:p w14:paraId="1AACF922">
      <w:pPr>
        <w:pStyle w:val="16"/>
      </w:pPr>
      <w:r>
        <w:rPr>
          <w:rFonts w:ascii="微软雅黑" w:hAnsi="微软雅黑" w:eastAsia="微软雅黑"/>
        </w:rPr>
        <w:t>核定工期为必填，技术方案为选填</w:t>
      </w:r>
    </w:p>
    <w:p w14:paraId="6EC1D1E8">
      <w:pPr>
        <w:pStyle w:val="5"/>
      </w:pPr>
      <w:r>
        <w:rPr>
          <w:rFonts w:ascii="微软雅黑" w:hAnsi="微软雅黑" w:eastAsia="微软雅黑"/>
          <w:color w:val="444444"/>
          <w:sz w:val="24"/>
        </w:rPr>
        <w:t>报价配置</w:t>
      </w:r>
    </w:p>
    <w:p w14:paraId="5A1EAA54">
      <w:pPr>
        <w:pStyle w:val="16"/>
      </w:pPr>
      <w:r>
        <w:rPr>
          <w:rFonts w:ascii="微软雅黑" w:hAnsi="微软雅黑" w:eastAsia="微软雅黑"/>
        </w:rPr>
        <w:t>进入报价环节后功能与工时数据变为只读，仅销售或有权限人员可操作</w:t>
      </w:r>
    </w:p>
    <w:p w14:paraId="6519A000">
      <w:pPr>
        <w:pStyle w:val="16"/>
      </w:pPr>
      <w:r>
        <w:rPr>
          <w:rFonts w:ascii="微软雅黑" w:hAnsi="微软雅黑" w:eastAsia="微软雅黑"/>
        </w:rPr>
        <w:t>支持人工成本计算（岗位单价可调）、销售自定义项（如培训费）、出差费用多地点核算、驻场费用配置（对外报价项，不计入成本）</w:t>
      </w:r>
    </w:p>
    <w:p w14:paraId="3D171FBB">
      <w:pPr>
        <w:pStyle w:val="4"/>
      </w:pPr>
      <w:r>
        <w:rPr>
          <w:rFonts w:ascii="微软雅黑" w:hAnsi="微软雅黑" w:eastAsia="微软雅黑"/>
          <w:color w:val="2F5496"/>
          <w:sz w:val="28"/>
        </w:rPr>
        <w:t>三、审批与签章</w:t>
      </w:r>
    </w:p>
    <w:p w14:paraId="11E22631">
      <w:pPr>
        <w:pStyle w:val="16"/>
      </w:pPr>
      <w:r>
        <w:rPr>
          <w:rFonts w:ascii="微软雅黑" w:hAnsi="微软雅黑" w:eastAsia="微软雅黑"/>
        </w:rPr>
        <w:t>罗总、</w:t>
      </w:r>
      <w:r>
        <w:rPr>
          <w:rFonts w:hint="eastAsia"/>
          <w:lang w:val="en-US" w:eastAsia="zh-CN"/>
        </w:rPr>
        <w:t>闵</w:t>
      </w:r>
      <w:r>
        <w:rPr>
          <w:rFonts w:ascii="微软雅黑" w:hAnsi="微软雅黑" w:eastAsia="微软雅黑"/>
        </w:rPr>
        <w:t>总拥有审批权限，可同意或驳回；审批通过后状态变更为"待盖章"</w:t>
      </w:r>
    </w:p>
    <w:p w14:paraId="3DD6A70C">
      <w:pPr>
        <w:pStyle w:val="16"/>
      </w:pPr>
      <w:r>
        <w:rPr>
          <w:rFonts w:ascii="微软雅黑" w:hAnsi="微软雅黑" w:eastAsia="微软雅黑"/>
        </w:rPr>
        <w:t>电子签章：对接第三方系统约1天/5000~6000元，也支持直接插入电子章图片到PDF的简化方案</w:t>
      </w:r>
    </w:p>
    <w:p w14:paraId="130B2A2E">
      <w:pPr>
        <w:pStyle w:val="16"/>
      </w:pPr>
      <w:r>
        <w:rPr>
          <w:rFonts w:ascii="微软雅黑" w:hAnsi="微软雅黑" w:eastAsia="微软雅黑"/>
        </w:rPr>
        <w:t>支持下载PDF报价单、线下盖章、上传客户模板</w:t>
      </w:r>
    </w:p>
    <w:p w14:paraId="7E423F9B">
      <w:pPr>
        <w:pStyle w:val="4"/>
      </w:pPr>
      <w:r>
        <w:rPr>
          <w:rFonts w:ascii="微软雅黑" w:hAnsi="微软雅黑" w:eastAsia="微软雅黑"/>
          <w:color w:val="2F5496"/>
          <w:sz w:val="28"/>
        </w:rPr>
        <w:t>四、权限与系统流转</w:t>
      </w:r>
    </w:p>
    <w:p w14:paraId="0BB8F790">
      <w:pPr>
        <w:pStyle w:val="16"/>
      </w:pPr>
      <w:r>
        <w:rPr>
          <w:rFonts w:ascii="微软雅黑" w:hAnsi="微软雅黑" w:eastAsia="微软雅黑"/>
        </w:rPr>
        <w:t>线索报价信息仅销售归属人可见；项目管理模块是否开放报价查看权尚待确定</w:t>
      </w:r>
    </w:p>
    <w:p w14:paraId="0EBB8692">
      <w:pPr>
        <w:pStyle w:val="16"/>
      </w:pPr>
      <w:r>
        <w:rPr>
          <w:rFonts w:ascii="微软雅黑" w:hAnsi="微软雅黑" w:eastAsia="微软雅黑"/>
        </w:rPr>
        <w:t>系统提供两种流转模式：数据流转（默认）和文件流转（适合多条业务线、多子系统的复杂项目），用户可自主选择入口</w:t>
      </w:r>
    </w:p>
    <w:p w14:paraId="765C9DAC">
      <w:pPr>
        <w:pStyle w:val="16"/>
      </w:pPr>
      <w:r>
        <w:rPr>
          <w:rFonts w:ascii="微软雅黑" w:hAnsi="微软雅黑" w:eastAsia="微软雅黑"/>
        </w:rPr>
        <w:t>暂不考虑增加分行业页面等多页面切换功能，避免系统过重</w:t>
      </w:r>
    </w:p>
    <w:p w14:paraId="61BD254B">
      <w:pPr>
        <w:pStyle w:val="4"/>
      </w:pPr>
      <w:r>
        <w:rPr>
          <w:rFonts w:ascii="微软雅黑" w:hAnsi="微软雅黑" w:eastAsia="微软雅黑"/>
          <w:color w:val="2F5496"/>
          <w:sz w:val="28"/>
        </w:rPr>
        <w:t>五、开发优先级与后续计划</w:t>
      </w:r>
    </w:p>
    <w:p w14:paraId="51774776">
      <w:pPr>
        <w:pStyle w:val="5"/>
      </w:pPr>
      <w:r>
        <w:rPr>
          <w:rFonts w:ascii="微软雅黑" w:hAnsi="微软雅黑" w:eastAsia="微软雅黑"/>
          <w:color w:val="444444"/>
          <w:sz w:val="24"/>
        </w:rPr>
        <w:t>近期重点</w:t>
      </w:r>
    </w:p>
    <w:p w14:paraId="0487D233">
      <w:pPr>
        <w:pStyle w:val="16"/>
      </w:pPr>
      <w:r>
        <w:rPr>
          <w:rFonts w:ascii="微软雅黑" w:hAnsi="微软雅黑" w:eastAsia="微软雅黑"/>
        </w:rPr>
        <w:t>下周迭代修改成本模块</w:t>
      </w:r>
    </w:p>
    <w:p w14:paraId="4B9A768D">
      <w:pPr>
        <w:pStyle w:val="16"/>
      </w:pPr>
      <w:r>
        <w:rPr>
          <w:rFonts w:ascii="微软雅黑" w:hAnsi="微软雅黑" w:eastAsia="微软雅黑"/>
        </w:rPr>
        <w:t>完善销售域全流程：线索管理 → 报价 → 合同 → 回款 → 项目回款</w:t>
      </w:r>
    </w:p>
    <w:p w14:paraId="37173787">
      <w:pPr>
        <w:pStyle w:val="16"/>
      </w:pPr>
      <w:r>
        <w:rPr>
          <w:rFonts w:ascii="微软雅黑" w:hAnsi="微软雅黑" w:eastAsia="微软雅黑"/>
        </w:rPr>
        <w:t>报价系统功能本身暂不优先开发（当前新项目少、需求不急）</w:t>
      </w:r>
    </w:p>
    <w:p w14:paraId="2D459455">
      <w:pPr>
        <w:pStyle w:val="5"/>
      </w:pPr>
      <w:r>
        <w:rPr>
          <w:rFonts w:ascii="微软雅黑" w:hAnsi="微软雅黑" w:eastAsia="微软雅黑"/>
          <w:color w:val="444444"/>
          <w:sz w:val="24"/>
        </w:rPr>
        <w:t>待补充功能</w:t>
      </w:r>
    </w:p>
    <w:p w14:paraId="299E9799">
      <w:pPr>
        <w:pStyle w:val="16"/>
      </w:pPr>
      <w:r>
        <w:rPr>
          <w:rFonts w:ascii="微软雅黑" w:hAnsi="微软雅黑" w:eastAsia="微软雅黑"/>
        </w:rPr>
        <w:t>附件上传入口（支持非在线生成的报价文件上传）</w:t>
      </w:r>
    </w:p>
    <w:p w14:paraId="231C68C9">
      <w:pPr>
        <w:pStyle w:val="16"/>
      </w:pPr>
      <w:r>
        <w:rPr>
          <w:rFonts w:ascii="微软雅黑" w:hAnsi="微软雅黑" w:eastAsia="微软雅黑"/>
        </w:rPr>
        <w:t>文件流转/数据流转模式选择入口</w:t>
      </w:r>
    </w:p>
    <w:p w14:paraId="3F9ACBD3">
      <w:pPr>
        <w:pStyle w:val="5"/>
      </w:pPr>
      <w:r>
        <w:rPr>
          <w:rFonts w:ascii="微软雅黑" w:hAnsi="微软雅黑" w:eastAsia="微软雅黑"/>
          <w:color w:val="444444"/>
          <w:sz w:val="24"/>
        </w:rPr>
        <w:t>测试安排（三步走）</w:t>
      </w:r>
    </w:p>
    <w:p w14:paraId="17663821">
      <w:pPr>
        <w:pStyle w:val="16"/>
      </w:pPr>
      <w:r>
        <w:rPr>
          <w:rFonts w:ascii="微软雅黑" w:hAnsi="微软雅黑" w:eastAsia="微软雅黑"/>
          <w:b/>
        </w:rPr>
        <w:t>第一步：</w:t>
      </w:r>
      <w:r>
        <w:rPr>
          <w:rFonts w:ascii="微软雅黑" w:hAnsi="微软雅黑" w:eastAsia="微软雅黑"/>
        </w:rPr>
        <w:t>跑通基础流程</w:t>
      </w:r>
    </w:p>
    <w:p w14:paraId="13693B30">
      <w:pPr>
        <w:pStyle w:val="16"/>
      </w:pPr>
      <w:r>
        <w:rPr>
          <w:rFonts w:ascii="微软雅黑" w:hAnsi="微软雅黑" w:eastAsia="微软雅黑"/>
          <w:b/>
        </w:rPr>
        <w:t>第二步：</w:t>
      </w:r>
      <w:r>
        <w:rPr>
          <w:rFonts w:ascii="微软雅黑" w:hAnsi="微软雅黑" w:eastAsia="微软雅黑"/>
        </w:rPr>
        <w:t>用真实 / Demo 项目走完整链路</w:t>
      </w:r>
    </w:p>
    <w:p w14:paraId="48201A81">
      <w:pPr>
        <w:pStyle w:val="16"/>
      </w:pPr>
      <w:r>
        <w:rPr>
          <w:rFonts w:ascii="微软雅黑" w:hAnsi="微软雅黑" w:eastAsia="微软雅黑"/>
          <w:b/>
        </w:rPr>
        <w:t>第三步：</w:t>
      </w:r>
      <w:r>
        <w:rPr>
          <w:rFonts w:ascii="微软雅黑" w:hAnsi="微软雅黑" w:eastAsia="微软雅黑"/>
        </w:rPr>
        <w:t>用近 2~3 个历史项目推演验证</w:t>
      </w:r>
    </w:p>
    <w:p w14:paraId="5A699488">
      <w:pPr>
        <w:pStyle w:val="4"/>
      </w:pPr>
      <w:r>
        <w:rPr>
          <w:rFonts w:ascii="微软雅黑" w:hAnsi="微软雅黑" w:eastAsia="微软雅黑"/>
          <w:color w:val="2F5496"/>
          <w:sz w:val="28"/>
        </w:rPr>
        <w:t>六、关键待办摘要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9"/>
        <w:gridCol w:w="2268"/>
      </w:tblGrid>
      <w:tr w14:paraId="2C7721AB">
        <w:trPr>
          <w:jc w:val="center"/>
        </w:trPr>
        <w:tc>
          <w:tcPr>
            <w:tcW w:w="5669" w:type="dxa"/>
            <w:shd w:val="clear" w:color="auto" w:fill="2F5496"/>
          </w:tcPr>
          <w:p w14:paraId="2D72061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事项</w:t>
            </w:r>
          </w:p>
        </w:tc>
        <w:tc>
          <w:tcPr>
            <w:tcW w:w="2268" w:type="dxa"/>
            <w:shd w:val="clear" w:color="auto" w:fill="2F5496"/>
          </w:tcPr>
          <w:p w14:paraId="1DDBC74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优先级/排期</w:t>
            </w:r>
          </w:p>
        </w:tc>
      </w:tr>
      <w:tr w14:paraId="0EC473FE">
        <w:trPr>
          <w:jc w:val="center"/>
        </w:trPr>
        <w:tc>
          <w:tcPr>
            <w:tcW w:w="5669" w:type="dxa"/>
          </w:tcPr>
          <w:p w14:paraId="3B5C0E42">
            <w:pPr>
              <w:spacing w:after="0"/>
            </w:pPr>
            <w:r>
              <w:rPr>
                <w:rFonts w:ascii="微软雅黑" w:hAnsi="微软雅黑" w:eastAsia="微软雅黑"/>
                <w:sz w:val="22"/>
              </w:rPr>
              <w:t>迭代修改成本模块</w:t>
            </w:r>
          </w:p>
        </w:tc>
        <w:tc>
          <w:tcPr>
            <w:tcW w:w="2268" w:type="dxa"/>
          </w:tcPr>
          <w:p w14:paraId="5EE6419E">
            <w:pPr>
              <w:spacing w:after="0"/>
            </w:pPr>
            <w:r>
              <w:rPr>
                <w:rFonts w:ascii="微软雅黑" w:hAnsi="微软雅黑" w:eastAsia="微软雅黑"/>
                <w:sz w:val="22"/>
              </w:rPr>
              <w:t>下周</w:t>
            </w:r>
          </w:p>
        </w:tc>
      </w:tr>
      <w:tr w14:paraId="3C6F286E">
        <w:trPr>
          <w:jc w:val="center"/>
        </w:trPr>
        <w:tc>
          <w:tcPr>
            <w:tcW w:w="5669" w:type="dxa"/>
            <w:shd w:val="clear" w:color="auto" w:fill="F2F2F2"/>
          </w:tcPr>
          <w:p w14:paraId="4D9CB9A2">
            <w:pPr>
              <w:spacing w:after="0"/>
            </w:pPr>
            <w:r>
              <w:rPr>
                <w:rFonts w:ascii="微软雅黑" w:hAnsi="微软雅黑" w:eastAsia="微软雅黑"/>
                <w:sz w:val="22"/>
              </w:rPr>
              <w:t>完善销售域全流程功能</w:t>
            </w:r>
          </w:p>
        </w:tc>
        <w:tc>
          <w:tcPr>
            <w:tcW w:w="2268" w:type="dxa"/>
            <w:shd w:val="clear" w:color="auto" w:fill="F2F2F2"/>
          </w:tcPr>
          <w:p w14:paraId="30FC37BB">
            <w:pPr>
              <w:spacing w:after="0"/>
            </w:pPr>
            <w:r>
              <w:rPr>
                <w:rFonts w:ascii="微软雅黑" w:hAnsi="微软雅黑" w:eastAsia="微软雅黑"/>
                <w:sz w:val="22"/>
              </w:rPr>
              <w:t>优先</w:t>
            </w:r>
          </w:p>
        </w:tc>
      </w:tr>
      <w:tr w14:paraId="1C0E7CD5">
        <w:trPr>
          <w:jc w:val="center"/>
        </w:trPr>
        <w:tc>
          <w:tcPr>
            <w:tcW w:w="5669" w:type="dxa"/>
          </w:tcPr>
          <w:p w14:paraId="6861F6C1">
            <w:pPr>
              <w:spacing w:after="0"/>
            </w:pPr>
            <w:r>
              <w:rPr>
                <w:rFonts w:ascii="微软雅黑" w:hAnsi="微软雅黑" w:eastAsia="微软雅黑"/>
                <w:sz w:val="22"/>
              </w:rPr>
              <w:t>添加流转模式选择入口</w:t>
            </w:r>
          </w:p>
        </w:tc>
        <w:tc>
          <w:tcPr>
            <w:tcW w:w="2268" w:type="dxa"/>
          </w:tcPr>
          <w:p w14:paraId="7F8A3CB9">
            <w:pPr>
              <w:spacing w:after="0"/>
            </w:pPr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  <w:tr w14:paraId="2E2499D5">
        <w:trPr>
          <w:jc w:val="center"/>
        </w:trPr>
        <w:tc>
          <w:tcPr>
            <w:tcW w:w="5669" w:type="dxa"/>
            <w:shd w:val="clear" w:color="auto" w:fill="F2F2F2"/>
          </w:tcPr>
          <w:p w14:paraId="70014B99">
            <w:pPr>
              <w:spacing w:after="0"/>
            </w:pPr>
            <w:r>
              <w:rPr>
                <w:rFonts w:ascii="微软雅黑" w:hAnsi="微软雅黑" w:eastAsia="微软雅黑"/>
                <w:sz w:val="22"/>
              </w:rPr>
              <w:t>新增附件上传入口</w:t>
            </w:r>
          </w:p>
        </w:tc>
        <w:tc>
          <w:tcPr>
            <w:tcW w:w="2268" w:type="dxa"/>
            <w:shd w:val="clear" w:color="auto" w:fill="F2F2F2"/>
          </w:tcPr>
          <w:p w14:paraId="7FD2991C">
            <w:pPr>
              <w:spacing w:after="0"/>
            </w:pPr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  <w:tr w14:paraId="16B7335E">
        <w:trPr>
          <w:jc w:val="center"/>
        </w:trPr>
        <w:tc>
          <w:tcPr>
            <w:tcW w:w="5669" w:type="dxa"/>
          </w:tcPr>
          <w:p w14:paraId="34F39276">
            <w:pPr>
              <w:spacing w:after="0"/>
            </w:pPr>
            <w:r>
              <w:rPr>
                <w:rFonts w:ascii="微软雅黑" w:hAnsi="微软雅黑" w:eastAsia="微软雅黑"/>
                <w:sz w:val="22"/>
              </w:rPr>
              <w:t>优化合并工时寄存状态逻辑</w:t>
            </w:r>
          </w:p>
        </w:tc>
        <w:tc>
          <w:tcPr>
            <w:tcW w:w="2268" w:type="dxa"/>
          </w:tcPr>
          <w:p w14:paraId="720126E2">
            <w:pPr>
              <w:spacing w:after="0"/>
            </w:pPr>
            <w:r>
              <w:rPr>
                <w:rFonts w:ascii="微软雅黑" w:hAnsi="微软雅黑" w:eastAsia="微软雅黑"/>
                <w:sz w:val="22"/>
              </w:rPr>
              <w:t>待处理</w:t>
            </w:r>
          </w:p>
        </w:tc>
      </w:tr>
      <w:tr w14:paraId="77A29184">
        <w:trPr>
          <w:jc w:val="center"/>
        </w:trPr>
        <w:tc>
          <w:tcPr>
            <w:tcW w:w="5669" w:type="dxa"/>
            <w:shd w:val="clear" w:color="auto" w:fill="F2F2F2"/>
          </w:tcPr>
          <w:p w14:paraId="5DF4B561">
            <w:pPr>
              <w:spacing w:after="0"/>
            </w:pPr>
            <w:r>
              <w:rPr>
                <w:rFonts w:ascii="微软雅黑" w:hAnsi="微软雅黑" w:eastAsia="微软雅黑"/>
                <w:sz w:val="22"/>
              </w:rPr>
              <w:t>优化自定义岗位名称输入方式</w:t>
            </w:r>
          </w:p>
        </w:tc>
        <w:tc>
          <w:tcPr>
            <w:tcW w:w="2268" w:type="dxa"/>
            <w:shd w:val="clear" w:color="auto" w:fill="F2F2F2"/>
          </w:tcPr>
          <w:p w14:paraId="02E67330">
            <w:pPr>
              <w:spacing w:after="0"/>
            </w:pPr>
            <w:r>
              <w:rPr>
                <w:rFonts w:ascii="微软雅黑" w:hAnsi="微软雅黑" w:eastAsia="微软雅黑"/>
                <w:sz w:val="22"/>
              </w:rPr>
              <w:t>待处理</w:t>
            </w:r>
          </w:p>
        </w:tc>
      </w:tr>
      <w:tr w14:paraId="6B1F741A">
        <w:trPr>
          <w:jc w:val="center"/>
        </w:trPr>
        <w:tc>
          <w:tcPr>
            <w:tcW w:w="5669" w:type="dxa"/>
          </w:tcPr>
          <w:p w14:paraId="1B9845C1">
            <w:pPr>
              <w:spacing w:after="0"/>
            </w:pPr>
            <w:r>
              <w:rPr>
                <w:rFonts w:ascii="微软雅黑" w:hAnsi="微软雅黑" w:eastAsia="微软雅黑"/>
                <w:sz w:val="22"/>
              </w:rPr>
              <w:t>盘点销售环节现存欠缺</w:t>
            </w:r>
          </w:p>
        </w:tc>
        <w:tc>
          <w:tcPr>
            <w:tcW w:w="2268" w:type="dxa"/>
          </w:tcPr>
          <w:p w14:paraId="509273A8">
            <w:pPr>
              <w:spacing w:after="0"/>
            </w:pPr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</w:tbl>
    <w:p w14:paraId="4C84800D"/>
    <w:p w14:paraId="64D00271">
      <w:r>
        <w:rPr>
          <w:rFonts w:ascii="微软雅黑" w:hAnsi="微软雅黑" w:eastAsia="微软雅黑"/>
          <w:b/>
          <w:color w:val="444444"/>
          <w:sz w:val="22"/>
        </w:rPr>
        <w:t>整体来看，系统主体功能已基本就绪，当前阶段的工作重心正从「功能建设」转向「销售域全流程贯通」和「真实业务场景验证」，同时识别了一批体验优化点和下一阶段的补充功能。</w:t>
      </w: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苹方-简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8BCEE2"/>
    <w:rsid w:val="EAFC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何江奇</cp:lastModifiedBy>
  <dcterms:modified xsi:type="dcterms:W3CDTF">2026-08-15T18:22:31Z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813380F3221011A2DD3D806A81AAC137_42</vt:lpwstr>
  </property>
</Properties>
</file>