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B151F">
      <w:pPr>
        <w:keepNext w:val="0"/>
        <w:spacing w:before="160" w:after="80" w:line="240" w:lineRule="auto"/>
      </w:pPr>
      <w:r>
        <w:rPr>
          <w:rFonts w:ascii="Hei" w:hAnsi="Hei" w:eastAsia="Hei" w:cs="Hei"/>
          <w:b/>
          <w:i w:val="0"/>
          <w:color w:val="172033"/>
          <w:sz w:val="48"/>
        </w:rPr>
        <w:t>会议纪要</w:t>
      </w:r>
    </w:p>
    <w:p w14:paraId="0EB91A00">
      <w:pPr>
        <w:keepNext w:val="0"/>
        <w:spacing w:before="0" w:after="320" w:line="240" w:lineRule="auto"/>
      </w:pPr>
      <w:r>
        <w:rPr>
          <w:rFonts w:hint="eastAsia" w:cs="Hei"/>
          <w:b/>
          <w:i w:val="0"/>
          <w:color w:val="1F4D78"/>
          <w:sz w:val="30"/>
          <w:lang w:val="en-US" w:eastAsia="zh-CN"/>
        </w:rPr>
        <w:t>一、</w:t>
      </w:r>
      <w:r>
        <w:rPr>
          <w:rFonts w:ascii="Hei" w:hAnsi="Hei" w:eastAsia="Hei" w:cs="Hei"/>
          <w:b/>
          <w:i w:val="0"/>
          <w:color w:val="1F4D78"/>
          <w:sz w:val="30"/>
        </w:rPr>
        <w:t>业务流程与成本核算相关讨论</w:t>
      </w:r>
    </w:p>
    <w:p w14:paraId="7B9B9780">
      <w:pPr>
        <w:keepNext w:val="0"/>
        <w:spacing w:before="0" w:after="60" w:line="252" w:lineRule="auto"/>
      </w:pPr>
      <w:r>
        <w:rPr>
          <w:rFonts w:ascii="Hei" w:hAnsi="Hei" w:eastAsia="Hei" w:cs="Hei"/>
          <w:b/>
          <w:i w:val="0"/>
          <w:color w:val="667085"/>
          <w:sz w:val="22"/>
        </w:rPr>
        <w:t>会议时间：</w:t>
      </w:r>
      <w:r>
        <w:rPr>
          <w:rFonts w:ascii="Hei" w:hAnsi="Hei" w:eastAsia="Hei" w:cs="Hei"/>
          <w:b w:val="0"/>
          <w:i w:val="0"/>
          <w:color w:val="172033"/>
          <w:sz w:val="22"/>
        </w:rPr>
        <w:t>2026年8月4日 15:03</w:t>
      </w:r>
    </w:p>
    <w:p w14:paraId="10110266">
      <w:pPr>
        <w:keepNext w:val="0"/>
        <w:spacing w:before="0" w:after="60" w:line="252" w:lineRule="auto"/>
      </w:pPr>
      <w:r>
        <w:rPr>
          <w:rFonts w:ascii="Hei" w:hAnsi="Hei" w:eastAsia="Hei" w:cs="Hei"/>
          <w:b/>
          <w:i w:val="0"/>
          <w:color w:val="667085"/>
          <w:sz w:val="22"/>
        </w:rPr>
        <w:t>会议时长：</w:t>
      </w:r>
      <w:r>
        <w:rPr>
          <w:rFonts w:ascii="Hei" w:hAnsi="Hei" w:eastAsia="Hei" w:cs="Hei"/>
          <w:b w:val="0"/>
          <w:i w:val="0"/>
          <w:color w:val="172033"/>
          <w:sz w:val="22"/>
        </w:rPr>
        <w:t>约1小时46分钟</w:t>
      </w:r>
    </w:p>
    <w:p w14:paraId="2DD5E5BB">
      <w:pPr>
        <w:keepNext w:val="0"/>
        <w:spacing w:before="0" w:after="60" w:line="252" w:lineRule="auto"/>
      </w:pPr>
      <w:r>
        <w:rPr>
          <w:rFonts w:ascii="Hei" w:hAnsi="Hei" w:eastAsia="Hei" w:cs="Hei"/>
          <w:b/>
          <w:i w:val="0"/>
          <w:color w:val="667085"/>
          <w:sz w:val="22"/>
        </w:rPr>
        <w:t>参会人员：</w:t>
      </w:r>
      <w:r>
        <w:rPr>
          <w:rFonts w:ascii="Hei" w:hAnsi="Hei" w:eastAsia="Hei" w:cs="Hei"/>
          <w:b w:val="0"/>
          <w:i w:val="0"/>
          <w:color w:val="172033"/>
          <w:sz w:val="22"/>
        </w:rPr>
        <w:t>杨培豪、陈孟春、闵总、王总</w:t>
      </w:r>
      <w:r>
        <w:rPr>
          <w:rFonts w:hint="eastAsia" w:cs="Hei"/>
          <w:b w:val="0"/>
          <w:i w:val="0"/>
          <w:color w:val="172033"/>
          <w:sz w:val="22"/>
          <w:lang w:eastAsia="zh-CN"/>
        </w:rPr>
        <w:t>、</w:t>
      </w:r>
      <w:r>
        <w:rPr>
          <w:rFonts w:hint="eastAsia" w:cs="Hei"/>
          <w:b w:val="0"/>
          <w:i w:val="0"/>
          <w:color w:val="172033"/>
          <w:sz w:val="22"/>
          <w:lang w:val="en-US" w:eastAsia="zh-CN"/>
        </w:rPr>
        <w:t>贾慧媛、王程</w:t>
      </w:r>
    </w:p>
    <w:p w14:paraId="5890A732">
      <w:pPr>
        <w:keepNext w:val="0"/>
        <w:pBdr>
          <w:bottom w:val="single" w:color="2E74B5" w:sz="8" w:space="0"/>
        </w:pBdr>
        <w:spacing w:before="160" w:after="280" w:line="264" w:lineRule="auto"/>
      </w:pPr>
    </w:p>
    <w:p w14:paraId="59C7D530">
      <w:pPr>
        <w:keepNext w:val="0"/>
        <w:pBdr>
          <w:left w:val="single" w:color="2E74B5" w:sz="18" w:space="8"/>
        </w:pBdr>
        <w:shd w:val="clear" w:fill="F4F6F9"/>
        <w:spacing w:before="80" w:after="200" w:line="276" w:lineRule="auto"/>
        <w:ind w:left="173"/>
      </w:pPr>
      <w:r>
        <w:rPr>
          <w:rFonts w:ascii="Hei" w:hAnsi="Hei" w:eastAsia="Hei" w:cs="Hei"/>
          <w:b/>
          <w:i w:val="0"/>
          <w:color w:val="2E74B5"/>
          <w:sz w:val="22"/>
        </w:rPr>
        <w:t>核心结论：</w:t>
      </w:r>
      <w:r>
        <w:rPr>
          <w:rFonts w:ascii="Hei" w:hAnsi="Hei" w:eastAsia="Hei" w:cs="Hei"/>
          <w:b w:val="0"/>
          <w:i w:val="0"/>
          <w:color w:val="172033"/>
          <w:sz w:val="22"/>
        </w:rPr>
        <w:t>成本核算调整为当前最高优先级，以重庆、郑州两个项目先行试点；需求未确认前继续原开发计划，需求确认后优先完成可手工录入、可追溯、可导出的成本核算闭环。</w:t>
      </w:r>
    </w:p>
    <w:p w14:paraId="74BBCFF7">
      <w:pPr>
        <w:pStyle w:val="3"/>
        <w:keepNext/>
        <w:spacing w:before="320" w:after="160" w:line="252" w:lineRule="auto"/>
      </w:pPr>
      <w:r>
        <w:rPr>
          <w:rFonts w:ascii="Hei" w:hAnsi="Hei" w:eastAsia="Hei" w:cs="Hei"/>
          <w:b/>
          <w:i w:val="0"/>
          <w:color w:val="2E74B5"/>
          <w:sz w:val="32"/>
        </w:rPr>
        <w:t>二、会议决议与业务规则</w:t>
      </w:r>
    </w:p>
    <w:p w14:paraId="2E3B7F1F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2.1 报价流程与报价单</w:t>
      </w:r>
    </w:p>
    <w:p w14:paraId="39D217B6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当前阶段继续采用“功能清单/技术评估文件提供工作量，销售在系统中完成报价测算”的方式；暂不把功能清单工作量评估全部搬到线上，后续再优化。</w:t>
      </w:r>
    </w:p>
    <w:p w14:paraId="573D6EB1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报价附件应在上传位置直接展示，不再默认收起；支持多文件、预览、下载、删除后重新上传，按钮文案区分“上传”和“重新上传”。</w:t>
      </w:r>
    </w:p>
    <w:p w14:paraId="726ABC37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报价记录按时间倒序展示，最新报价置顶。审批流程为当前报价的全局流程，固定展示在顶部，不嵌入某一条历史报价卡片。</w:t>
      </w:r>
    </w:p>
    <w:p w14:paraId="633F0ED5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审批进度采用横向节点展示：未到节点为灰色，当前/已完成节点高亮；提交审批时应明确显示各节点及审批人，并预留消息提醒能力。</w:t>
      </w:r>
    </w:p>
    <w:p w14:paraId="749D4C5B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系统需依据公司主体的报价模板自动生成带章报价单，嵌入功能清单与最终报价；支持预览、返回修改、重新生成和提交审批。</w:t>
      </w:r>
    </w:p>
    <w:p w14:paraId="3F7E8B63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最终报价可在内部成本基础上按比例或固定金额上浮；常用上浮规则由后台维护。内部成本与客户报价必须分开保存、分开展示。</w:t>
      </w:r>
    </w:p>
    <w:p w14:paraId="7095A09A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2.2 合同生成、版本与审批</w:t>
      </w:r>
    </w:p>
    <w:p w14:paraId="56BDD6CF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回款计划支持固定模板与手工新增。模板保存期数、回款比例、回款条件；金额根据合同总额自动计算。手工方案可另存为模板，后台也可维护模板。</w:t>
      </w:r>
    </w:p>
    <w:p w14:paraId="56AC1CB1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回款计划必须支持编辑、删除；比例合计必须为100%，金额合计必须等于合同金额，回款条件等必填项不得为空。工作日/自然日应保持默认一致，同时允许按特殊合同调整。</w:t>
      </w:r>
    </w:p>
    <w:p w14:paraId="089297F8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初始合同可在线编辑；进入律师或外部修订阶段后，以本地Word文件上传形成新版本。版本号自动递增，记录上传人、时间及修改说明。</w:t>
      </w:r>
    </w:p>
    <w:p w14:paraId="2F201F6D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仅查看且没有修改时不生成新版本；提交新版本必须填写条款修改说明，并标明由我方或对方提出。</w:t>
      </w:r>
    </w:p>
    <w:p w14:paraId="681CAB80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法大大电子签章暂缓接入，保留后续接口。当前先采用下载、打印、盖章、扫描、上传的线下签署方式。</w:t>
      </w:r>
    </w:p>
    <w:p w14:paraId="42628DFA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2.3 回款、发票与财务协同</w:t>
      </w:r>
    </w:p>
    <w:p w14:paraId="67D538B1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合同、回款、发票作为一体化工作流展示；回款计划可拆分，并记录已回款/未回款状态及付款凭证。</w:t>
      </w:r>
    </w:p>
    <w:p w14:paraId="06CC8231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开票由业务端发起申请，状态进入“开票审批中”；财务端设置开票管理入口，自动带入合同和开票信息。</w:t>
      </w:r>
    </w:p>
    <w:p w14:paraId="185D1D92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财务完成开票并上传发票后，项目/合同侧自动展示并允许下载；同时需支持冲红等后续操作及状态记录。</w:t>
      </w:r>
    </w:p>
    <w:p w14:paraId="55B1EA00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财务页面与导出模板需满足合同、回款、开票、项目成本的汇总核对需求。</w:t>
      </w:r>
    </w:p>
    <w:p w14:paraId="552F0E68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2.4 演示、资料与线索权限</w:t>
      </w:r>
    </w:p>
    <w:p w14:paraId="1398DCCB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演示上传字段由“演示类型”调整为“演示名称”，以适配用户端、商户端、司机端等不同命名场景。</w:t>
      </w:r>
    </w:p>
    <w:p w14:paraId="29302896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演示链接应可直接点击打开；演示域名统一使用中科Demo相关域名。当前文件可分别上传，压缩包自动解析后续再优化。</w:t>
      </w:r>
    </w:p>
    <w:p w14:paraId="1EE4534B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资料管理除支持手工上传外，还需自动沉淀系统生成的报价、合同等文件；资料名称必须准确区分。</w:t>
      </w:r>
    </w:p>
    <w:p w14:paraId="1C8C8123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资料与项目访问按归属及角色控制：归属销售、项目成员及管理角色按权限查看，销售之间默认不能查看他人合同。</w:t>
      </w:r>
    </w:p>
    <w:p w14:paraId="63935865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线索菜单保留“全部线索、公海线索、我的线索”；“已分配线索”合并到“我的线索”，录入/协助关系优先通过筛选体现。已成交线索因详情结构不同，仍需保留独立业务入口或对应视图。</w:t>
      </w:r>
    </w:p>
    <w:p w14:paraId="09022373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2.5 项目团队、日报与工时</w:t>
      </w:r>
    </w:p>
    <w:p w14:paraId="010918C9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项目团队配置由报价中的岗位和人数自动生成，再由负责人分派具体成员；分派后成员账号关联项目并获得相应访问权限。</w:t>
      </w:r>
    </w:p>
    <w:p w14:paraId="169ABA5C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成员可同时参与多个项目，日报按项目分别填报工时；同一天工时需要能够完整归集，为项目人工成本提供依据。</w:t>
      </w:r>
    </w:p>
    <w:p w14:paraId="567DF418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考勤与工资联动列为后续增强。第一阶段先保障日报工时、历史工时和员工成本能够录入并支撑80%—90%以上的核算准确度。</w:t>
      </w:r>
    </w:p>
    <w:p w14:paraId="74CEB60D">
      <w:pPr>
        <w:pStyle w:val="3"/>
        <w:keepNext/>
        <w:spacing w:before="320" w:after="160" w:line="252" w:lineRule="auto"/>
      </w:pPr>
      <w:r>
        <w:rPr>
          <w:rFonts w:ascii="Hei" w:hAnsi="Hei" w:eastAsia="Hei" w:cs="Hei"/>
          <w:b/>
          <w:i w:val="0"/>
          <w:color w:val="2E74B5"/>
          <w:sz w:val="32"/>
        </w:rPr>
        <w:t>三、成本核算专项需求</w:t>
      </w:r>
    </w:p>
    <w:p w14:paraId="3CABC4B7">
      <w:pPr>
        <w:keepNext w:val="0"/>
        <w:pBdr>
          <w:left w:val="single" w:color="16845B" w:sz="18" w:space="8"/>
        </w:pBdr>
        <w:shd w:val="clear" w:fill="F4F6F9"/>
        <w:spacing w:before="80" w:after="200" w:line="276" w:lineRule="auto"/>
        <w:ind w:left="173"/>
      </w:pPr>
      <w:r>
        <w:rPr>
          <w:rFonts w:ascii="Hei" w:hAnsi="Hei" w:eastAsia="Hei" w:cs="Hei"/>
          <w:b/>
          <w:i w:val="0"/>
          <w:color w:val="16845B"/>
          <w:sz w:val="22"/>
        </w:rPr>
        <w:t>优先级：</w:t>
      </w:r>
      <w:r>
        <w:rPr>
          <w:rFonts w:ascii="Hei" w:hAnsi="Hei" w:eastAsia="Hei" w:cs="Hei"/>
          <w:b w:val="0"/>
          <w:i w:val="0"/>
          <w:color w:val="172033"/>
          <w:sz w:val="22"/>
        </w:rPr>
        <w:t>成本核算为当前最高优先级。重庆、郑州项目先行试点，目标是尽快录入历史与当前数据，形成可追溯的项目利润核算结果。</w:t>
      </w:r>
    </w:p>
    <w:p w14:paraId="5A2450B0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3.1 核算口径</w:t>
      </w:r>
    </w:p>
    <w:p w14:paraId="474DD86B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预计成本：取报价系统中的内部岗位成本与评估人天，不使用对客户的上浮报价。岗位成本需细分到前端、后端、UI、产品、测试等角色。</w:t>
      </w:r>
    </w:p>
    <w:p w14:paraId="72A5AE9B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实际消耗：日报工时 × 员工标准时薪，加上差旅、交通、住宿、补贴、推广、商务及其他项目开支。</w:t>
      </w:r>
    </w:p>
    <w:p w14:paraId="02F8EE2F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员工成本：员工管理维护标准时薪或固定成本，一次维护后自动计算；无需每天维护。历史期间可按月录入每人总工时。</w:t>
      </w:r>
    </w:p>
    <w:p w14:paraId="22A6C57A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历史工时：结合考勤、出差区间、加班/调休等资料，按人员、月份录入总工时；重庆团队原则上按固定项目归集，零散协助另行记录。</w:t>
      </w:r>
    </w:p>
    <w:p w14:paraId="3365A44F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项目利润：合同金额减去预计成本/实际消耗，分别形成预计利润、实际利润及利润率。</w:t>
      </w:r>
    </w:p>
    <w:p w14:paraId="44CF55E5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3.2 页面与数据结构</w:t>
      </w:r>
    </w:p>
    <w:p w14:paraId="61758DEE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页面采用“概览看板 + 分类下钻 + 明细列表”，避免将所有数据纵向堆叠在一个长页面。</w:t>
      </w:r>
    </w:p>
    <w:p w14:paraId="2DD5CF7F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看板展示人工成本、差旅成本、推广成本、商务成本及其他成本；点击分类查看角色/小类汇总，再进入逐笔明细。</w:t>
      </w:r>
    </w:p>
    <w:p w14:paraId="28F478E7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第一阶段必须支持手工新增历史开支，字段至少包括：项目、费用大类/小类、金额、发生日期、经办人、说明、付款凭证/附件。</w:t>
      </w:r>
    </w:p>
    <w:p w14:paraId="723FF69E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审批流暂未完成时先允许手工录入；后续把报销、开票等审批结果自动归集到项目成本。</w:t>
      </w:r>
    </w:p>
    <w:p w14:paraId="0AFDE709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支持按项目导出成本总表，至少包含项目序号、项目名称、项目编号，并支持日/月/年统计。最终模板以王总确认的财务口径为准。</w:t>
      </w:r>
    </w:p>
    <w:p w14:paraId="0962096B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3.3 成本分类建议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300"/>
        <w:gridCol w:w="4360"/>
      </w:tblGrid>
      <w:tr w14:paraId="5BCB1FB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3F43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一级分类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B04E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建议小类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8439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归集说明</w:t>
            </w:r>
          </w:p>
        </w:tc>
      </w:tr>
      <w:tr w14:paraId="7027012B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CF37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人工成本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C086">
            <w:pPr>
              <w:keepNext w:val="0"/>
              <w:spacing w:before="0" w:after="0" w:line="264" w:lineRule="auto"/>
              <w:jc w:val="left"/>
              <w:rPr>
                <w:rFonts w:hint="eastAsia" w:eastAsia="Hei"/>
                <w:lang w:eastAsia="zh-CN"/>
              </w:rPr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正常工时、加班工时、工资、补贴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9697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按人员工时归集到项目；管理人员成本分摊规则待确认</w:t>
            </w:r>
          </w:p>
        </w:tc>
      </w:tr>
      <w:tr w14:paraId="297EB8AE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CA05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差旅成本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E5B8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交通、高速、油费、住宿、出差补贴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12DB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按具体项目归集，并可区分开发、售前、销售等岗位属性</w:t>
            </w:r>
          </w:p>
        </w:tc>
      </w:tr>
      <w:tr w14:paraId="4137B59E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551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商务成本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A674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商务宴请、客户接待、谈判相关支出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A97F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能明确项目的直接归集；无法明确的进入待分摊池</w:t>
            </w:r>
          </w:p>
        </w:tc>
      </w:tr>
      <w:tr w14:paraId="162E867F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D6D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推广成本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B8CC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百度、抖音、小红书、视频号等投流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D5A8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先按月、按平台录入，再确定成交项目或线索来源的分摊公式</w:t>
            </w:r>
          </w:p>
        </w:tc>
      </w:tr>
      <w:tr w14:paraId="100F9D3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171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软件与服务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B7B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服务器、云服务、Token、第三方软件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C6CC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优先归集到具体项目；无法明确时纳入综合运营成本</w:t>
            </w:r>
          </w:p>
        </w:tc>
      </w:tr>
      <w:tr w14:paraId="603FEB74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224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综合成本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D667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房租、电脑折旧/租赁、人资、财务等管理成本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D20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先形成总额，分摊到人或项目的规则后续确认</w:t>
            </w:r>
          </w:p>
        </w:tc>
      </w:tr>
    </w:tbl>
    <w:p w14:paraId="416A175E">
      <w:pPr>
        <w:pStyle w:val="4"/>
        <w:keepNext/>
        <w:spacing w:before="240" w:after="120" w:line="252" w:lineRule="auto"/>
      </w:pPr>
      <w:r>
        <w:rPr>
          <w:rFonts w:ascii="Hei" w:hAnsi="Hei" w:eastAsia="Hei" w:cs="Hei"/>
          <w:b/>
          <w:i w:val="0"/>
          <w:color w:val="2E74B5"/>
          <w:sz w:val="26"/>
        </w:rPr>
        <w:t>3.4 当前未定事项</w:t>
      </w:r>
    </w:p>
    <w:p w14:paraId="7810EB8C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推广费/投流费如何跨月份、跨线索、跨成交项目分摊，会议未形成最终公式；先完整录入月度与平台数据，再基于数据讨论。</w:t>
      </w:r>
    </w:p>
    <w:p w14:paraId="6AFE38D4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房租、电脑折旧、综合办公与管理成本是按人头、工位、工时还是项目比例分摊，需后续专项确认。</w:t>
      </w:r>
    </w:p>
    <w:p w14:paraId="6A43ECBC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管理人员及同时服务多个业务板块人员的人工成本如何拆分，第一阶段可先按实际执行工时归集。</w:t>
      </w:r>
    </w:p>
    <w:p w14:paraId="60F9EF90">
      <w:pPr>
        <w:pStyle w:val="16"/>
        <w:keepNext w:val="0"/>
        <w:spacing w:before="0" w:after="80" w:line="280" w:lineRule="auto"/>
        <w:ind w:left="720" w:hanging="360"/>
      </w:pPr>
      <w:r>
        <w:rPr>
          <w:rFonts w:ascii="Hei" w:hAnsi="Hei" w:eastAsia="Hei" w:cs="Hei"/>
          <w:b w:val="0"/>
          <w:i w:val="0"/>
          <w:color w:val="172033"/>
          <w:sz w:val="22"/>
        </w:rPr>
        <w:t>工资数据的精确度、敏感权限及与财务/人事系统的衔接方式需另行确认；当前以满足项目成本估算为目标。</w:t>
      </w:r>
    </w:p>
    <w:p w14:paraId="1FB48253">
      <w:pPr>
        <w:pStyle w:val="3"/>
        <w:keepNext/>
        <w:spacing w:before="320" w:after="160" w:line="252" w:lineRule="auto"/>
      </w:pPr>
      <w:r>
        <w:rPr>
          <w:rFonts w:ascii="Hei" w:hAnsi="Hei" w:eastAsia="Hei" w:cs="Hei"/>
          <w:b/>
          <w:i w:val="0"/>
          <w:color w:val="2E74B5"/>
          <w:sz w:val="32"/>
        </w:rPr>
        <w:t>四、行动项与责任分工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4700"/>
        <w:gridCol w:w="2100"/>
        <w:gridCol w:w="1960"/>
      </w:tblGrid>
      <w:tr w14:paraId="1A20DFB5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7BEE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序号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E6AE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行动项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0158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责任人/部门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E408">
            <w:pPr>
              <w:keepNext w:val="0"/>
              <w:spacing w:before="0" w:after="0" w:line="264" w:lineRule="auto"/>
              <w:jc w:val="center"/>
            </w:pPr>
            <w:r>
              <w:rPr>
                <w:rFonts w:ascii="Hei" w:hAnsi="Hei" w:eastAsia="Hei" w:cs="Hei"/>
                <w:b/>
                <w:i w:val="0"/>
                <w:color w:val="172033"/>
                <w:sz w:val="19"/>
              </w:rPr>
              <w:t>时间要求</w:t>
            </w:r>
          </w:p>
        </w:tc>
      </w:tr>
      <w:tr w14:paraId="65BCE9A5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14CF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95D8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整理本次会议纪要，逐条列出并在群内确认。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8255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陈孟春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2C01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2026-08-04下班前</w:t>
            </w:r>
          </w:p>
        </w:tc>
      </w:tr>
      <w:tr w14:paraId="2D1E7F7F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5B63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43A1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输出成本核算需求与页面原型，覆盖手工录入、分类看板、明细及导出。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D78F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陈孟春/产品开发团队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05C3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2026-08-05下班前复审</w:t>
            </w:r>
          </w:p>
        </w:tc>
      </w:tr>
      <w:tr w14:paraId="3F04921A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E4FD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B38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需求确认前继续原开发计划；确认后将成本核算提升为最高优先级。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7B6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产品开发团队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F9BA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立即执行</w:t>
            </w:r>
          </w:p>
        </w:tc>
      </w:tr>
      <w:tr w14:paraId="6283D7EF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4301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8E68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整理重庆、郑州项目历史人工、工时、补贴、差旅及付款凭证数据。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1AA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人力资源部及相关负责人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79D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功能可用后录入</w:t>
            </w:r>
          </w:p>
        </w:tc>
      </w:tr>
      <w:tr w14:paraId="074671AF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4A48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66B4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提供差旅费用数据，并确认项目成本导出表字段口径。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F44E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王总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E614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需求评审前</w:t>
            </w:r>
          </w:p>
        </w:tc>
      </w:tr>
      <w:tr w14:paraId="004CE08A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D475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03AF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整理推广成本，按月份与百度/抖音/小红书/视频号等平台提供数据。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EC6A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何文涛/推广团队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2A9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成本试点录入阶段</w:t>
            </w:r>
          </w:p>
        </w:tc>
      </w:tr>
      <w:tr w14:paraId="764EBEA6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9D45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7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678B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整理商务/销售相关成本数据。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A73E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相关业务负责人/财务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395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成本试点录入阶段</w:t>
            </w:r>
          </w:p>
        </w:tc>
      </w:tr>
      <w:tr w14:paraId="3A943ED5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FC63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8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DDFA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获取现有报价单模板与功能清单样例，研究自动生成报价单。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6A90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陈孟春/产品开发团队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FEF9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报价功能迭代</w:t>
            </w:r>
          </w:p>
        </w:tc>
      </w:tr>
      <w:tr w14:paraId="1BA64B80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571C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9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19A4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持续召开产品与开发同步会；在公司现场沟通，不在时远程沟通，并形成会议纪要。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0335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陈孟春及开发负责人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D48B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每日约1小时</w:t>
            </w:r>
          </w:p>
        </w:tc>
      </w:tr>
      <w:tr w14:paraId="7C90A120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927D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10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CAAB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法大大电子签暂缓开发，保留后续对接入口。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7E77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产品开发团队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A83B">
            <w:pPr>
              <w:keepNext w:val="0"/>
              <w:spacing w:before="0" w:after="0" w:line="264" w:lineRule="auto"/>
              <w:jc w:val="left"/>
            </w:pPr>
            <w:r>
              <w:rPr>
                <w:rFonts w:ascii="Hei" w:hAnsi="Hei" w:eastAsia="Hei" w:cs="Hei"/>
                <w:b w:val="0"/>
                <w:i w:val="0"/>
                <w:color w:val="172033"/>
                <w:sz w:val="19"/>
              </w:rPr>
              <w:t>后续排期</w:t>
            </w:r>
          </w:p>
        </w:tc>
      </w:tr>
    </w:tbl>
    <w:p w14:paraId="60746737">
      <w:pPr>
        <w:pStyle w:val="3"/>
        <w:keepNext/>
        <w:spacing w:before="320" w:after="160" w:line="252" w:lineRule="auto"/>
      </w:pPr>
      <w:r>
        <w:rPr>
          <w:rFonts w:ascii="Hei" w:hAnsi="Hei" w:eastAsia="Hei" w:cs="Hei"/>
          <w:b/>
          <w:i w:val="0"/>
          <w:color w:val="2E74B5"/>
          <w:sz w:val="32"/>
        </w:rPr>
        <w:t>五、开发优先级建议</w:t>
      </w:r>
    </w:p>
    <w:p w14:paraId="5B1FB699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16845B"/>
          <w:sz w:val="22"/>
        </w:rPr>
        <w:t xml:space="preserve">P0  </w:t>
      </w:r>
      <w:r>
        <w:rPr>
          <w:rFonts w:ascii="Hei" w:hAnsi="Hei" w:eastAsia="Hei" w:cs="Hei"/>
          <w:b w:val="0"/>
          <w:i w:val="0"/>
          <w:color w:val="172033"/>
          <w:sz w:val="22"/>
        </w:rPr>
        <w:t>成本核算需求确认与重庆/郑州试点：手工录入、分类看板、明细、附件与导出。</w:t>
      </w:r>
    </w:p>
    <w:p w14:paraId="51D23040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2E74B5"/>
          <w:sz w:val="22"/>
        </w:rPr>
        <w:t xml:space="preserve">P1  </w:t>
      </w:r>
      <w:r>
        <w:rPr>
          <w:rFonts w:ascii="Hei" w:hAnsi="Hei" w:eastAsia="Hei" w:cs="Hei"/>
          <w:b w:val="0"/>
          <w:i w:val="0"/>
          <w:color w:val="172033"/>
          <w:sz w:val="22"/>
        </w:rPr>
        <w:t>报价闭环：内部成本、上浮规则、自动生成报价单、预览与审批。</w:t>
      </w:r>
    </w:p>
    <w:p w14:paraId="547DCEA6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2E74B5"/>
          <w:sz w:val="22"/>
        </w:rPr>
        <w:t xml:space="preserve">P1  </w:t>
      </w:r>
      <w:r>
        <w:rPr>
          <w:rFonts w:ascii="Hei" w:hAnsi="Hei" w:eastAsia="Hei" w:cs="Hei"/>
          <w:b w:val="0"/>
          <w:i w:val="0"/>
          <w:color w:val="172033"/>
          <w:sz w:val="22"/>
        </w:rPr>
        <w:t>合同闭环：回款模板、版本管理、审</w:t>
      </w:r>
      <w:bookmarkStart w:id="0" w:name="_GoBack"/>
      <w:bookmarkEnd w:id="0"/>
      <w:r>
        <w:rPr>
          <w:rFonts w:ascii="Hei" w:hAnsi="Hei" w:eastAsia="Hei" w:cs="Hei"/>
          <w:b w:val="0"/>
          <w:i w:val="0"/>
          <w:color w:val="172033"/>
          <w:sz w:val="22"/>
        </w:rPr>
        <w:t>批流、线下签署归档。</w:t>
      </w:r>
    </w:p>
    <w:p w14:paraId="3A4E493C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2E74B5"/>
          <w:sz w:val="22"/>
        </w:rPr>
        <w:t xml:space="preserve">P1  </w:t>
      </w:r>
      <w:r>
        <w:rPr>
          <w:rFonts w:ascii="Hei" w:hAnsi="Hei" w:eastAsia="Hei" w:cs="Hei"/>
          <w:b w:val="0"/>
          <w:i w:val="0"/>
          <w:color w:val="172033"/>
          <w:sz w:val="22"/>
        </w:rPr>
        <w:t>回款与发票：开票申请、财务处理、发票回传与冲红。</w:t>
      </w:r>
    </w:p>
    <w:p w14:paraId="04050AD8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9A6700"/>
          <w:sz w:val="22"/>
        </w:rPr>
        <w:t xml:space="preserve">P2  </w:t>
      </w:r>
      <w:r>
        <w:rPr>
          <w:rFonts w:ascii="Hei" w:hAnsi="Hei" w:eastAsia="Hei" w:cs="Hei"/>
          <w:b w:val="0"/>
          <w:i w:val="0"/>
          <w:color w:val="172033"/>
          <w:sz w:val="22"/>
        </w:rPr>
        <w:t>项目团队自动配置、日报工时归集及权限完善。</w:t>
      </w:r>
    </w:p>
    <w:p w14:paraId="560391CA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9A6700"/>
          <w:sz w:val="22"/>
        </w:rPr>
        <w:t xml:space="preserve">P2  </w:t>
      </w:r>
      <w:r>
        <w:rPr>
          <w:rFonts w:ascii="Hei" w:hAnsi="Hei" w:eastAsia="Hei" w:cs="Hei"/>
          <w:b w:val="0"/>
          <w:i w:val="0"/>
          <w:color w:val="172033"/>
          <w:sz w:val="22"/>
        </w:rPr>
        <w:t>演示域名、资料命名、线索菜单与权限优化。</w:t>
      </w:r>
    </w:p>
    <w:p w14:paraId="18542769">
      <w:pPr>
        <w:keepNext w:val="0"/>
        <w:spacing w:before="0" w:after="100" w:line="269" w:lineRule="auto"/>
      </w:pPr>
      <w:r>
        <w:rPr>
          <w:rFonts w:ascii="Hei" w:hAnsi="Hei" w:eastAsia="Hei" w:cs="Hei"/>
          <w:b/>
          <w:i w:val="0"/>
          <w:color w:val="667085"/>
          <w:sz w:val="22"/>
        </w:rPr>
        <w:t xml:space="preserve">暂缓  </w:t>
      </w:r>
      <w:r>
        <w:rPr>
          <w:rFonts w:ascii="Hei" w:hAnsi="Hei" w:eastAsia="Hei" w:cs="Hei"/>
          <w:b w:val="0"/>
          <w:i w:val="0"/>
          <w:color w:val="172033"/>
          <w:sz w:val="22"/>
        </w:rPr>
        <w:t>法大大电子签章接入。</w:t>
      </w:r>
    </w:p>
    <w:p w14:paraId="072B72B6">
      <w:pPr>
        <w:pStyle w:val="3"/>
        <w:keepNext/>
        <w:spacing w:before="320" w:after="160" w:line="252" w:lineRule="auto"/>
      </w:pPr>
      <w:r>
        <w:rPr>
          <w:rFonts w:ascii="Hei" w:hAnsi="Hei" w:eastAsia="Hei" w:cs="Hei"/>
          <w:b/>
          <w:i w:val="0"/>
          <w:color w:val="2E74B5"/>
          <w:sz w:val="32"/>
        </w:rPr>
        <w:t>六、整理说明</w:t>
      </w:r>
    </w:p>
    <w:p w14:paraId="58B1E487">
      <w:pPr>
        <w:keepNext w:val="0"/>
        <w:spacing w:before="0" w:after="120" w:line="264" w:lineRule="auto"/>
      </w:pPr>
      <w:r>
        <w:rPr>
          <w:rFonts w:ascii="Hei" w:hAnsi="Hei" w:eastAsia="Hei" w:cs="Hei"/>
          <w:b w:val="0"/>
          <w:i w:val="0"/>
          <w:color w:val="172033"/>
          <w:sz w:val="22"/>
        </w:rPr>
        <w:t>本纪要根据AI转写内容进行业务化归纳，已将说话人1—4分别替换为杨培豪、陈孟春、闵总、王总。原转写存在口语重复、同段多人插话及个别识别偏差，整理时仅合并重复表达，不新增会议中未出现的业务结论。</w:t>
      </w:r>
    </w:p>
    <w:p w14:paraId="7C9D28B5">
      <w:pPr>
        <w:keepNext w:val="0"/>
        <w:spacing w:before="0" w:after="120" w:line="264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B8CC8">
    <w:pPr>
      <w:pStyle w:val="24"/>
      <w:jc w:val="right"/>
    </w:pPr>
    <w:r>
      <w:rPr>
        <w:rFonts w:ascii="Hei" w:hAnsi="Hei" w:eastAsia="Hei" w:cs="Hei"/>
        <w:b w:val="0"/>
        <w:i w:val="0"/>
        <w:color w:val="667085"/>
        <w:sz w:val="18"/>
      </w:rPr>
      <w:t xml:space="preserve">第 </w:t>
    </w:r>
    <w:r>
      <w:rPr>
        <w:rFonts w:ascii="Hei" w:hAnsi="Hei" w:eastAsia="Hei" w:cs="Hei"/>
        <w:b w:val="0"/>
        <w:i w:val="0"/>
        <w:color w:val="667085"/>
        <w:sz w:val="18"/>
      </w:rPr>
      <w:fldChar w:fldCharType="begin"/>
    </w:r>
    <w:r>
      <w:rPr>
        <w:rFonts w:ascii="Hei" w:hAnsi="Hei" w:eastAsia="Hei" w:cs="Hei"/>
        <w:b w:val="0"/>
        <w:i w:val="0"/>
        <w:color w:val="667085"/>
        <w:sz w:val="18"/>
      </w:rPr>
      <w:instrText xml:space="preserve"> PAGE </w:instrText>
    </w:r>
    <w:r>
      <w:rPr>
        <w:rFonts w:ascii="Hei" w:hAnsi="Hei" w:eastAsia="Hei" w:cs="Hei"/>
        <w:b w:val="0"/>
        <w:i w:val="0"/>
        <w:color w:val="667085"/>
        <w:sz w:val="18"/>
      </w:rPr>
      <w:fldChar w:fldCharType="end"/>
    </w:r>
    <w:r>
      <w:rPr>
        <w:rFonts w:ascii="Hei" w:hAnsi="Hei" w:eastAsia="Hei" w:cs="Hei"/>
        <w:b w:val="0"/>
        <w:i w:val="0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F4915">
    <w:pPr>
      <w:pStyle w:val="25"/>
      <w:keepNext w:val="0"/>
      <w:spacing w:before="0" w:after="0" w:line="264" w:lineRule="auto"/>
      <w:jc w:val="left"/>
    </w:pPr>
    <w:r>
      <w:rPr>
        <w:rFonts w:ascii="Hei" w:hAnsi="Hei" w:eastAsia="Hei" w:cs="Hei"/>
        <w:b/>
        <w:i w:val="0"/>
        <w:color w:val="667085"/>
        <w:sz w:val="18"/>
      </w:rPr>
      <w:t>HubX OA 项目｜业务流程与成本核算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EFC1A9"/>
    <w:rsid w:val="7F7F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Hei" w:hAnsi="Hei" w:eastAsia="Hei" w:cs="He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ei" w:hAnsi="Hei" w:eastAsia="Hei" w:cs="Hei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ei" w:hAnsi="Hei" w:eastAsia="Hei" w:cs="Hei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Hei" w:hAnsi="Hei" w:eastAsia="Hei" w:cs="Hei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HubX 项目组</dc:creator>
  <dc:description>generated by python-docx</dc:description>
  <cp:keywords>HubX, OA, 报价, 合同, 成本核算, 会议纪要</cp:keywords>
  <cp:lastModifiedBy>石头剪子布</cp:lastModifiedBy>
  <dcterms:modified xsi:type="dcterms:W3CDTF">2026-08-04T17:43:02Z</dcterms:modified>
  <dc:subject>HubX OA 业务流程、报价合同与成本核算会议纪要</dc:subject>
  <dc:title>业务流程与成本核算会议纪要（整理版）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5E02396543D5368F08B2716A9E58BB6A_42</vt:lpwstr>
  </property>
</Properties>
</file>