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371854">
      <w:pPr>
        <w:pStyle w:val="2"/>
        <w:keepNext w:val="0"/>
        <w:keepLines w:val="0"/>
        <w:widowControl/>
        <w:suppressLineNumbers w:val="0"/>
        <w:rPr>
          <w:sz w:val="36"/>
          <w:szCs w:val="36"/>
        </w:rPr>
      </w:pPr>
      <w:r>
        <w:rPr>
          <w:sz w:val="36"/>
          <w:szCs w:val="36"/>
        </w:rPr>
        <w:t>1. 员工档案</w:t>
      </w:r>
    </w:p>
    <w:p w14:paraId="051061F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员工花名册 </w:t>
      </w:r>
    </w:p>
    <w:p w14:paraId="7D47F19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基本信息、联系方式、家庭信息 </w:t>
      </w:r>
    </w:p>
    <w:p w14:paraId="4A8C526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入职信息、岗位、职级、所属部门 </w:t>
      </w:r>
    </w:p>
    <w:p w14:paraId="0442BC7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合同、证件、学历及附件管理 </w:t>
      </w:r>
    </w:p>
    <w:p w14:paraId="1157DAF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工作经历、培训经历、奖惩记录 </w:t>
      </w:r>
      <w:bookmarkStart w:id="0" w:name="_GoBack"/>
      <w:bookmarkEnd w:id="0"/>
    </w:p>
    <w:p w14:paraId="3755AC2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在职、试用、离职等状态管理 </w:t>
      </w:r>
    </w:p>
    <w:p w14:paraId="62ED8AD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人员信息变更记录 </w:t>
      </w:r>
    </w:p>
    <w:p w14:paraId="2EE8C44C">
      <w:pPr>
        <w:pStyle w:val="2"/>
        <w:keepNext w:val="0"/>
        <w:keepLines w:val="0"/>
        <w:widowControl/>
        <w:suppressLineNumbers w:val="0"/>
        <w:rPr>
          <w:sz w:val="36"/>
          <w:szCs w:val="36"/>
        </w:rPr>
      </w:pPr>
      <w:r>
        <w:rPr>
          <w:sz w:val="36"/>
          <w:szCs w:val="36"/>
        </w:rPr>
        <w:t>2. 组织架构</w:t>
      </w:r>
    </w:p>
    <w:p w14:paraId="6830DA5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公司、部门、岗位管理 </w:t>
      </w:r>
    </w:p>
    <w:p w14:paraId="12C9468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组织架构图 </w:t>
      </w:r>
    </w:p>
    <w:p w14:paraId="4E877F8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岗位编制与人员配置 </w:t>
      </w:r>
    </w:p>
    <w:p w14:paraId="38676F5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部门负责人设置 </w:t>
      </w:r>
    </w:p>
    <w:p w14:paraId="70A0F1B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汇报关系管理 </w:t>
      </w:r>
    </w:p>
    <w:p w14:paraId="2D5AAA5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兼岗、跨部门任职 </w:t>
      </w:r>
    </w:p>
    <w:p w14:paraId="56258B8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组织及岗位调整记录 </w:t>
      </w:r>
    </w:p>
    <w:p w14:paraId="38B540FB">
      <w:pPr>
        <w:pStyle w:val="2"/>
        <w:keepNext w:val="0"/>
        <w:keepLines w:val="0"/>
        <w:widowControl/>
        <w:suppressLineNumbers w:val="0"/>
        <w:rPr>
          <w:sz w:val="36"/>
          <w:szCs w:val="36"/>
        </w:rPr>
      </w:pPr>
      <w:r>
        <w:rPr>
          <w:sz w:val="36"/>
          <w:szCs w:val="36"/>
        </w:rPr>
        <w:t>3. 招聘管理</w:t>
      </w:r>
    </w:p>
    <w:p w14:paraId="3F889AC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招聘需求申请与审批 </w:t>
      </w:r>
    </w:p>
    <w:p w14:paraId="142E4E0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招聘计划、岗位发布 </w:t>
      </w:r>
    </w:p>
    <w:p w14:paraId="2033D57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简历库与人才库 </w:t>
      </w:r>
    </w:p>
    <w:p w14:paraId="1624C31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候选人筛选和面试安排 </w:t>
      </w:r>
    </w:p>
    <w:p w14:paraId="4B21095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面试评价与结果记录 </w:t>
      </w:r>
    </w:p>
    <w:p w14:paraId="66A2CD8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Offer 审批与发放 </w:t>
      </w:r>
    </w:p>
    <w:p w14:paraId="360DA30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候选人转入职 </w:t>
      </w:r>
    </w:p>
    <w:p w14:paraId="7E0FAB8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招聘渠道及效果统计 </w:t>
      </w:r>
    </w:p>
    <w:p w14:paraId="54458932">
      <w:pPr>
        <w:pStyle w:val="2"/>
        <w:keepNext w:val="0"/>
        <w:keepLines w:val="0"/>
        <w:widowControl/>
        <w:suppressLineNumbers w:val="0"/>
        <w:rPr>
          <w:sz w:val="36"/>
          <w:szCs w:val="36"/>
        </w:rPr>
      </w:pPr>
      <w:r>
        <w:rPr>
          <w:sz w:val="36"/>
          <w:szCs w:val="36"/>
        </w:rPr>
        <w:t>4. 入职管理</w:t>
      </w:r>
    </w:p>
    <w:p w14:paraId="758A6E3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入职登记 </w:t>
      </w:r>
    </w:p>
    <w:p w14:paraId="25A7FD7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入职材料收集 </w:t>
      </w:r>
    </w:p>
    <w:p w14:paraId="686ADE8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身份、学历等资料核验 </w:t>
      </w:r>
    </w:p>
    <w:p w14:paraId="46D892E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合同签署 </w:t>
      </w:r>
    </w:p>
    <w:p w14:paraId="660DE88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工号及系统账号开通 </w:t>
      </w:r>
    </w:p>
    <w:p w14:paraId="00AD5D3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办公用品、设备领用 </w:t>
      </w:r>
    </w:p>
    <w:p w14:paraId="443BE40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入职审批 </w:t>
      </w:r>
    </w:p>
    <w:p w14:paraId="1F0E657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入职任务清单 </w:t>
      </w:r>
    </w:p>
    <w:p w14:paraId="53D0146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新员工培训及转正日期设置 </w:t>
      </w:r>
    </w:p>
    <w:p w14:paraId="7340EDE5">
      <w:pPr>
        <w:pStyle w:val="2"/>
        <w:keepNext w:val="0"/>
        <w:keepLines w:val="0"/>
        <w:widowControl/>
        <w:suppressLineNumbers w:val="0"/>
        <w:rPr>
          <w:sz w:val="36"/>
          <w:szCs w:val="36"/>
        </w:rPr>
      </w:pPr>
      <w:r>
        <w:rPr>
          <w:sz w:val="36"/>
          <w:szCs w:val="36"/>
        </w:rPr>
        <w:t>5. 试用期与转正</w:t>
      </w:r>
    </w:p>
    <w:p w14:paraId="366F4C9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试用期目标设定 </w:t>
      </w:r>
    </w:p>
    <w:p w14:paraId="5073241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试用期跟踪与评价 </w:t>
      </w:r>
    </w:p>
    <w:p w14:paraId="5B68678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转正提醒 </w:t>
      </w:r>
    </w:p>
    <w:p w14:paraId="18082F6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员工转正申请 </w:t>
      </w:r>
    </w:p>
    <w:p w14:paraId="7216EB9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上级及人资评价 </w:t>
      </w:r>
    </w:p>
    <w:p w14:paraId="4FD6157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转正、延期或终止审批 </w:t>
      </w:r>
    </w:p>
    <w:p w14:paraId="3C5BDEF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转正后的薪资、岗位调整 </w:t>
      </w:r>
    </w:p>
    <w:p w14:paraId="2804363B">
      <w:pPr>
        <w:pStyle w:val="2"/>
        <w:keepNext w:val="0"/>
        <w:keepLines w:val="0"/>
        <w:widowControl/>
        <w:suppressLineNumbers w:val="0"/>
        <w:rPr>
          <w:sz w:val="36"/>
          <w:szCs w:val="36"/>
        </w:rPr>
      </w:pPr>
      <w:r>
        <w:rPr>
          <w:sz w:val="36"/>
          <w:szCs w:val="36"/>
        </w:rPr>
        <w:t>6. 考勤管理</w:t>
      </w:r>
    </w:p>
    <w:p w14:paraId="0CBC317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考勤规则与班次设置 </w:t>
      </w:r>
    </w:p>
    <w:p w14:paraId="349F7F1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上下班打卡 </w:t>
      </w:r>
    </w:p>
    <w:p w14:paraId="12B4D62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排班管理 </w:t>
      </w:r>
    </w:p>
    <w:p w14:paraId="5809745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迟到、早退、缺卡、旷工统计 </w:t>
      </w:r>
    </w:p>
    <w:p w14:paraId="0E7E389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补卡申请 </w:t>
      </w:r>
    </w:p>
    <w:p w14:paraId="125C397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外勤、出差、加班登记 </w:t>
      </w:r>
    </w:p>
    <w:p w14:paraId="202C404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考勤异常处理 </w:t>
      </w:r>
    </w:p>
    <w:p w14:paraId="1774362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月度考勤汇总与确认 </w:t>
      </w:r>
    </w:p>
    <w:p w14:paraId="18E9E09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考勤报表导出 </w:t>
      </w:r>
    </w:p>
    <w:p w14:paraId="58343A17">
      <w:pPr>
        <w:pStyle w:val="2"/>
        <w:keepNext w:val="0"/>
        <w:keepLines w:val="0"/>
        <w:widowControl/>
        <w:suppressLineNumbers w:val="0"/>
        <w:rPr>
          <w:sz w:val="36"/>
          <w:szCs w:val="36"/>
        </w:rPr>
      </w:pPr>
      <w:r>
        <w:rPr>
          <w:sz w:val="36"/>
          <w:szCs w:val="36"/>
        </w:rPr>
        <w:t>7. 请假与假期</w:t>
      </w:r>
    </w:p>
    <w:p w14:paraId="40DFED1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假期类型配置 </w:t>
      </w:r>
    </w:p>
    <w:p w14:paraId="5421AC5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年假额度与有效期管理 </w:t>
      </w:r>
    </w:p>
    <w:p w14:paraId="3D208C7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请假申请与审批 </w:t>
      </w:r>
    </w:p>
    <w:p w14:paraId="26FD8CF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销假、续假 </w:t>
      </w:r>
    </w:p>
    <w:p w14:paraId="75E4787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假期余额查询 </w:t>
      </w:r>
    </w:p>
    <w:p w14:paraId="632FBC3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调休额度管理 </w:t>
      </w:r>
    </w:p>
    <w:p w14:paraId="1940F22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法定节假日配置 </w:t>
      </w:r>
    </w:p>
    <w:p w14:paraId="7F9FF0C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假期自动计算与结转 </w:t>
      </w:r>
    </w:p>
    <w:p w14:paraId="41CF61D5">
      <w:pPr>
        <w:pStyle w:val="2"/>
        <w:keepNext w:val="0"/>
        <w:keepLines w:val="0"/>
        <w:widowControl/>
        <w:suppressLineNumbers w:val="0"/>
        <w:rPr>
          <w:sz w:val="36"/>
          <w:szCs w:val="36"/>
        </w:rPr>
      </w:pPr>
      <w:r>
        <w:rPr>
          <w:sz w:val="36"/>
          <w:szCs w:val="36"/>
        </w:rPr>
        <w:t>8. 加班、出差与外勤</w:t>
      </w:r>
    </w:p>
    <w:p w14:paraId="617215A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加班申请和审批 </w:t>
      </w:r>
    </w:p>
    <w:p w14:paraId="7404A81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加班转调休或加班费 </w:t>
      </w:r>
    </w:p>
    <w:p w14:paraId="4815A54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出差申请、行程及预算 </w:t>
      </w:r>
    </w:p>
    <w:p w14:paraId="39B358E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出差审批 </w:t>
      </w:r>
    </w:p>
    <w:p w14:paraId="62E7EB9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外出、外勤登记 </w:t>
      </w:r>
    </w:p>
    <w:p w14:paraId="217BD55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与考勤、费用报销联动 </w:t>
      </w:r>
    </w:p>
    <w:p w14:paraId="29CE0ED4">
      <w:pPr>
        <w:pStyle w:val="2"/>
        <w:keepNext w:val="0"/>
        <w:keepLines w:val="0"/>
        <w:widowControl/>
        <w:suppressLineNumbers w:val="0"/>
        <w:rPr>
          <w:sz w:val="36"/>
          <w:szCs w:val="36"/>
        </w:rPr>
      </w:pPr>
      <w:r>
        <w:rPr>
          <w:sz w:val="36"/>
          <w:szCs w:val="36"/>
        </w:rPr>
        <w:t>9. 劳动合同</w:t>
      </w:r>
    </w:p>
    <w:p w14:paraId="0B84D3A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合同模板 </w:t>
      </w:r>
    </w:p>
    <w:p w14:paraId="234DA10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合同签订、续签、变更、解除 </w:t>
      </w:r>
    </w:p>
    <w:p w14:paraId="3DF0E7F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电子合同及附件 </w:t>
      </w:r>
    </w:p>
    <w:p w14:paraId="146B377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试用期、合同期限管理 </w:t>
      </w:r>
    </w:p>
    <w:p w14:paraId="1AFA96D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合同到期提醒 </w:t>
      </w:r>
    </w:p>
    <w:p w14:paraId="686011A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保密协议、竞业协议 </w:t>
      </w:r>
    </w:p>
    <w:p w14:paraId="79E1C99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合同台账及历史版本 </w:t>
      </w:r>
    </w:p>
    <w:p w14:paraId="63060C84">
      <w:pPr>
        <w:pStyle w:val="2"/>
        <w:keepNext w:val="0"/>
        <w:keepLines w:val="0"/>
        <w:widowControl/>
        <w:suppressLineNumbers w:val="0"/>
        <w:rPr>
          <w:sz w:val="36"/>
          <w:szCs w:val="36"/>
        </w:rPr>
      </w:pPr>
      <w:r>
        <w:rPr>
          <w:sz w:val="36"/>
          <w:szCs w:val="36"/>
        </w:rPr>
        <w:t>10. 薪酬管理</w:t>
      </w:r>
    </w:p>
    <w:p w14:paraId="196964D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薪资结构与薪资标准 </w:t>
      </w:r>
    </w:p>
    <w:p w14:paraId="4DBA243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员工定薪、调薪 </w:t>
      </w:r>
    </w:p>
    <w:p w14:paraId="74D12BC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固定工资、绩效、奖金、津贴 </w:t>
      </w:r>
    </w:p>
    <w:p w14:paraId="12AA66F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考勤及请假扣款 </w:t>
      </w:r>
    </w:p>
    <w:p w14:paraId="6455E79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社保、公积金、个税 </w:t>
      </w:r>
    </w:p>
    <w:p w14:paraId="2CFC4BC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月度工资核算 </w:t>
      </w:r>
    </w:p>
    <w:p w14:paraId="18173D7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工资审批与封账 </w:t>
      </w:r>
    </w:p>
    <w:p w14:paraId="03F4C4E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工资条发放及员工确认 </w:t>
      </w:r>
    </w:p>
    <w:p w14:paraId="3B43E60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薪资成本统计 </w:t>
      </w:r>
    </w:p>
    <w:p w14:paraId="372DE2D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薪酬数据权限与保密 </w:t>
      </w:r>
    </w:p>
    <w:p w14:paraId="3F06BE37">
      <w:pPr>
        <w:pStyle w:val="2"/>
        <w:keepNext w:val="0"/>
        <w:keepLines w:val="0"/>
        <w:widowControl/>
        <w:suppressLineNumbers w:val="0"/>
        <w:rPr>
          <w:sz w:val="36"/>
          <w:szCs w:val="36"/>
        </w:rPr>
      </w:pPr>
      <w:r>
        <w:rPr>
          <w:sz w:val="36"/>
          <w:szCs w:val="36"/>
        </w:rPr>
        <w:t>11. 社保与公积金</w:t>
      </w:r>
    </w:p>
    <w:p w14:paraId="09940AD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参保方案配置 </w:t>
      </w:r>
    </w:p>
    <w:p w14:paraId="06A436C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增员、减员、基数调整 </w:t>
      </w:r>
    </w:p>
    <w:p w14:paraId="6DF24DE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公司和个人缴费核算 </w:t>
      </w:r>
    </w:p>
    <w:p w14:paraId="028FE17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补缴记录 </w:t>
      </w:r>
    </w:p>
    <w:p w14:paraId="62BA3BA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社保、公积金台账 </w:t>
      </w:r>
    </w:p>
    <w:p w14:paraId="1E82E5B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商业保险管理 </w:t>
      </w:r>
    </w:p>
    <w:p w14:paraId="3AE26DDD">
      <w:pPr>
        <w:pStyle w:val="2"/>
        <w:keepNext w:val="0"/>
        <w:keepLines w:val="0"/>
        <w:widowControl/>
        <w:suppressLineNumbers w:val="0"/>
        <w:rPr>
          <w:sz w:val="36"/>
          <w:szCs w:val="36"/>
        </w:rPr>
      </w:pPr>
      <w:r>
        <w:rPr>
          <w:sz w:val="36"/>
          <w:szCs w:val="36"/>
        </w:rPr>
        <w:t>12. 绩效管理</w:t>
      </w:r>
    </w:p>
    <w:p w14:paraId="2466392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考核周期和方案配置 </w:t>
      </w:r>
    </w:p>
    <w:p w14:paraId="06BADED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KPI、OKR、行为评价指标 </w:t>
      </w:r>
    </w:p>
    <w:p w14:paraId="51FFCF7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绩效目标制定与确认 </w:t>
      </w:r>
    </w:p>
    <w:p w14:paraId="6F748B7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自评、上级评价、多人评价 </w:t>
      </w:r>
    </w:p>
    <w:p w14:paraId="596E96B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绩效校准 </w:t>
      </w:r>
    </w:p>
    <w:p w14:paraId="513C476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绩效结果确认与申诉 </w:t>
      </w:r>
    </w:p>
    <w:p w14:paraId="5439C6C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绩效结果与奖金、晋升联动 </w:t>
      </w:r>
    </w:p>
    <w:p w14:paraId="16D6572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部门及员工绩效分析 </w:t>
      </w:r>
    </w:p>
    <w:p w14:paraId="1B492C27">
      <w:pPr>
        <w:pStyle w:val="2"/>
        <w:keepNext w:val="0"/>
        <w:keepLines w:val="0"/>
        <w:widowControl/>
        <w:suppressLineNumbers w:val="0"/>
        <w:rPr>
          <w:sz w:val="36"/>
          <w:szCs w:val="36"/>
        </w:rPr>
      </w:pPr>
      <w:r>
        <w:rPr>
          <w:sz w:val="36"/>
          <w:szCs w:val="36"/>
        </w:rPr>
        <w:t>13. 培训与人才发展</w:t>
      </w:r>
    </w:p>
    <w:p w14:paraId="262E83E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培训需求收集 </w:t>
      </w:r>
    </w:p>
    <w:p w14:paraId="60C3FC1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培训计划和课程管理 </w:t>
      </w:r>
    </w:p>
    <w:p w14:paraId="3FBC7C5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培训报名、签到及考试 </w:t>
      </w:r>
    </w:p>
    <w:p w14:paraId="74132F9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学习记录与培训档案 </w:t>
      </w:r>
    </w:p>
    <w:p w14:paraId="490604C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证书及资质到期提醒 </w:t>
      </w:r>
    </w:p>
    <w:p w14:paraId="6A49506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培训效果评价 </w:t>
      </w:r>
    </w:p>
    <w:p w14:paraId="4E2B429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员工能力模型 </w:t>
      </w:r>
    </w:p>
    <w:p w14:paraId="004F9CA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人才盘点、继任计划 </w:t>
      </w:r>
    </w:p>
    <w:p w14:paraId="188C8AB1">
      <w:pPr>
        <w:pStyle w:val="2"/>
        <w:keepNext w:val="0"/>
        <w:keepLines w:val="0"/>
        <w:widowControl/>
        <w:suppressLineNumbers w:val="0"/>
        <w:rPr>
          <w:sz w:val="36"/>
          <w:szCs w:val="36"/>
        </w:rPr>
      </w:pPr>
      <w:r>
        <w:rPr>
          <w:sz w:val="36"/>
          <w:szCs w:val="36"/>
        </w:rPr>
        <w:t>14. 异动管理</w:t>
      </w:r>
    </w:p>
    <w:p w14:paraId="0165C0A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调岗、调部门 </w:t>
      </w:r>
    </w:p>
    <w:p w14:paraId="53D13EB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晋升、降职 </w:t>
      </w:r>
    </w:p>
    <w:p w14:paraId="4C3375E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调薪 </w:t>
      </w:r>
    </w:p>
    <w:p w14:paraId="5DA1D59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工作地点调整 </w:t>
      </w:r>
    </w:p>
    <w:p w14:paraId="0A0B1F5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上级及汇报关系变更 </w:t>
      </w:r>
    </w:p>
    <w:p w14:paraId="31A9D37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异动申请与审批 </w:t>
      </w:r>
    </w:p>
    <w:p w14:paraId="789225B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异动生效及历史记录 </w:t>
      </w:r>
    </w:p>
    <w:p w14:paraId="1A61F29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与权限、薪酬、考勤联动 </w:t>
      </w:r>
    </w:p>
    <w:p w14:paraId="08847B23">
      <w:pPr>
        <w:pStyle w:val="2"/>
        <w:keepNext w:val="0"/>
        <w:keepLines w:val="0"/>
        <w:widowControl/>
        <w:suppressLineNumbers w:val="0"/>
        <w:rPr>
          <w:sz w:val="36"/>
          <w:szCs w:val="36"/>
        </w:rPr>
      </w:pPr>
      <w:r>
        <w:rPr>
          <w:sz w:val="36"/>
          <w:szCs w:val="36"/>
        </w:rPr>
        <w:t>15. 离职管理</w:t>
      </w:r>
    </w:p>
    <w:p w14:paraId="0519764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员工离职申请 </w:t>
      </w:r>
    </w:p>
    <w:p w14:paraId="4B87906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主动、被动离职分类 </w:t>
      </w:r>
    </w:p>
    <w:p w14:paraId="61DEA6B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离职审批 </w:t>
      </w:r>
    </w:p>
    <w:p w14:paraId="03D18D5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离职面谈及原因记录 </w:t>
      </w:r>
    </w:p>
    <w:p w14:paraId="676F7CD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工作交接 </w:t>
      </w:r>
    </w:p>
    <w:p w14:paraId="5FC3A7B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资产、财务、账号清退 </w:t>
      </w:r>
    </w:p>
    <w:p w14:paraId="5797347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工资和补偿金结算 </w:t>
      </w:r>
    </w:p>
    <w:p w14:paraId="089584C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离职证明 </w:t>
      </w:r>
    </w:p>
    <w:p w14:paraId="084E6C9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员工转入离职人才库 </w:t>
      </w:r>
    </w:p>
    <w:p w14:paraId="461BD95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离职率及原因分析 </w:t>
      </w:r>
    </w:p>
    <w:p w14:paraId="22B02B60">
      <w:pPr>
        <w:pStyle w:val="2"/>
        <w:keepNext w:val="0"/>
        <w:keepLines w:val="0"/>
        <w:widowControl/>
        <w:suppressLineNumbers w:val="0"/>
        <w:rPr>
          <w:sz w:val="36"/>
          <w:szCs w:val="36"/>
        </w:rPr>
      </w:pPr>
      <w:r>
        <w:rPr>
          <w:sz w:val="36"/>
          <w:szCs w:val="36"/>
        </w:rPr>
        <w:t>16. 员工关怀与福利</w:t>
      </w:r>
    </w:p>
    <w:p w14:paraId="5854F43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员工福利管理 </w:t>
      </w:r>
    </w:p>
    <w:p w14:paraId="5EE7182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节日礼品、生日关怀 </w:t>
      </w:r>
    </w:p>
    <w:p w14:paraId="0D82B4A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体检、团建、慰问 </w:t>
      </w:r>
    </w:p>
    <w:p w14:paraId="61AC107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员工满意度调查 </w:t>
      </w:r>
    </w:p>
    <w:p w14:paraId="77F7261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意见与建议收集 </w:t>
      </w:r>
    </w:p>
    <w:p w14:paraId="27CC51F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奖励、处分管理 </w:t>
      </w:r>
    </w:p>
    <w:p w14:paraId="1FAA59E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员工积分或荣誉体系 </w:t>
      </w:r>
    </w:p>
    <w:p w14:paraId="0FAD1121">
      <w:pPr>
        <w:pStyle w:val="2"/>
        <w:keepNext w:val="0"/>
        <w:keepLines w:val="0"/>
        <w:widowControl/>
        <w:suppressLineNumbers w:val="0"/>
        <w:rPr>
          <w:sz w:val="36"/>
          <w:szCs w:val="36"/>
        </w:rPr>
      </w:pPr>
      <w:r>
        <w:rPr>
          <w:sz w:val="36"/>
          <w:szCs w:val="36"/>
        </w:rPr>
        <w:t>17. 人事审批与提醒</w:t>
      </w:r>
    </w:p>
    <w:p w14:paraId="67F8830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入职、转正、异动、离职审批 </w:t>
      </w:r>
    </w:p>
    <w:p w14:paraId="2880F9D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招聘、调薪、加班、请假审批 </w:t>
      </w:r>
    </w:p>
    <w:p w14:paraId="5ED6152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自定义审批流程 </w:t>
      </w:r>
    </w:p>
    <w:p w14:paraId="7FCB88A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按部门、岗位、金额设置审批人 </w:t>
      </w:r>
    </w:p>
    <w:p w14:paraId="7E954A7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待办、催办、抄送 </w:t>
      </w:r>
    </w:p>
    <w:p w14:paraId="4496369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合同到期、试用期到期提醒 </w:t>
      </w:r>
    </w:p>
    <w:p w14:paraId="394FEE7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证件及资格证到期提醒 </w:t>
      </w:r>
    </w:p>
    <w:p w14:paraId="04DB8CD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审批记录和操作日志 </w:t>
      </w:r>
    </w:p>
    <w:p w14:paraId="20666BF4">
      <w:pPr>
        <w:pStyle w:val="2"/>
        <w:keepNext w:val="0"/>
        <w:keepLines w:val="0"/>
        <w:widowControl/>
        <w:suppressLineNumbers w:val="0"/>
        <w:rPr>
          <w:sz w:val="36"/>
          <w:szCs w:val="36"/>
        </w:rPr>
      </w:pPr>
      <w:r>
        <w:rPr>
          <w:sz w:val="36"/>
          <w:szCs w:val="36"/>
        </w:rPr>
        <w:t>18. 数据报表与人资看板</w:t>
      </w:r>
    </w:p>
    <w:p w14:paraId="08BA383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员工总数及人员结构 </w:t>
      </w:r>
    </w:p>
    <w:p w14:paraId="34DDEC1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入职、离职、转正趋势 </w:t>
      </w:r>
    </w:p>
    <w:p w14:paraId="3D27B4B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部门人数与编制情况 </w:t>
      </w:r>
    </w:p>
    <w:p w14:paraId="69934A8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年龄、学历、司龄、职级分布 </w:t>
      </w:r>
    </w:p>
    <w:p w14:paraId="5C3D424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招聘完成率与招聘周期 </w:t>
      </w:r>
    </w:p>
    <w:p w14:paraId="1E7745F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出勤率、请假率、加班情况 </w:t>
      </w:r>
    </w:p>
    <w:p w14:paraId="3EC6DFA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人工成本与薪资趋势 </w:t>
      </w:r>
    </w:p>
    <w:p w14:paraId="407CB0F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绩效分布 </w:t>
      </w:r>
    </w:p>
    <w:p w14:paraId="0FD494B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离职率与离职原因 </w:t>
      </w:r>
    </w:p>
    <w:p w14:paraId="0B4356C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自定义报表及 Excel 导出 </w:t>
      </w:r>
    </w:p>
    <w:p w14:paraId="4503A992">
      <w:pPr>
        <w:pStyle w:val="2"/>
        <w:keepNext w:val="0"/>
        <w:keepLines w:val="0"/>
        <w:widowControl/>
        <w:suppressLineNumbers w:val="0"/>
        <w:rPr>
          <w:sz w:val="36"/>
          <w:szCs w:val="36"/>
        </w:rPr>
      </w:pPr>
      <w:r>
        <w:rPr>
          <w:sz w:val="36"/>
          <w:szCs w:val="36"/>
        </w:rPr>
        <w:t>19. 员工自助端</w:t>
      </w:r>
    </w:p>
    <w:p w14:paraId="7C33F09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查看和维护个人资料 </w:t>
      </w:r>
    </w:p>
    <w:p w14:paraId="11E534D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查看组织架构、通讯录 </w:t>
      </w:r>
    </w:p>
    <w:p w14:paraId="0FEAC55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提交请假、加班、补卡等申请 </w:t>
      </w:r>
    </w:p>
    <w:p w14:paraId="0170F55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查看考勤记录和假期余额 </w:t>
      </w:r>
    </w:p>
    <w:p w14:paraId="5BBCA0E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查看工资条、合同 </w:t>
      </w:r>
    </w:p>
    <w:p w14:paraId="4D54564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发起转正、离职等流程 </w:t>
      </w:r>
    </w:p>
    <w:p w14:paraId="341A6C7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查看培训、绩效结果 </w:t>
      </w:r>
    </w:p>
    <w:p w14:paraId="6122E8F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待办审批及消息提醒 </w:t>
      </w:r>
    </w:p>
    <w:p w14:paraId="17D23979">
      <w:pPr>
        <w:pStyle w:val="2"/>
        <w:keepNext w:val="0"/>
        <w:keepLines w:val="0"/>
        <w:widowControl/>
        <w:suppressLineNumbers w:val="0"/>
        <w:rPr>
          <w:sz w:val="36"/>
          <w:szCs w:val="36"/>
        </w:rPr>
      </w:pPr>
      <w:r>
        <w:rPr>
          <w:sz w:val="36"/>
          <w:szCs w:val="36"/>
        </w:rPr>
        <w:t>20. 系统配置与权限</w:t>
      </w:r>
    </w:p>
    <w:p w14:paraId="7A85807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人资角色与数据权限 </w:t>
      </w:r>
    </w:p>
    <w:p w14:paraId="50A6695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按公司、部门、人员控制数据范围 </w:t>
      </w:r>
    </w:p>
    <w:p w14:paraId="5459547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敏感字段脱敏 </w:t>
      </w:r>
    </w:p>
    <w:p w14:paraId="147F0B3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薪酬数据独立授权 </w:t>
      </w:r>
    </w:p>
    <w:p w14:paraId="67E308A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自定义字段、表单和审批流程 </w:t>
      </w:r>
    </w:p>
    <w:p w14:paraId="6C682D7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编码、字典、假期规则配置 </w:t>
      </w:r>
    </w:p>
    <w:p w14:paraId="62108F7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数据导入、导出 </w:t>
      </w:r>
    </w:p>
    <w:p w14:paraId="2475C17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 xml:space="preserve">操作日志与审计记录 </w:t>
      </w:r>
    </w:p>
    <w:p w14:paraId="170E3D3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sz w:val="28"/>
          <w:szCs w:val="36"/>
        </w:rPr>
      </w:pPr>
      <w:r>
        <w:rPr>
          <w:sz w:val="28"/>
          <w:szCs w:val="36"/>
        </w:rPr>
        <w:t>与财务、项目、CRM、门禁等模块集成</w:t>
      </w:r>
    </w:p>
    <w:p w14:paraId="7F13911D">
      <w:pPr>
        <w:rPr>
          <w:sz w:val="28"/>
          <w:szCs w:val="36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F6061E"/>
    <w:multiLevelType w:val="multilevel"/>
    <w:tmpl w:val="BEF606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7FE65C0"/>
    <w:multiLevelType w:val="multilevel"/>
    <w:tmpl w:val="D7FE65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B9B521C"/>
    <w:multiLevelType w:val="multilevel"/>
    <w:tmpl w:val="DB9B52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EFF8227"/>
    <w:multiLevelType w:val="multilevel"/>
    <w:tmpl w:val="DEFF82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FFC5B76"/>
    <w:multiLevelType w:val="multilevel"/>
    <w:tmpl w:val="DFFC5B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7BE05CF"/>
    <w:multiLevelType w:val="multilevel"/>
    <w:tmpl w:val="E7BE05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5DE8390"/>
    <w:multiLevelType w:val="multilevel"/>
    <w:tmpl w:val="F5DE83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6F29A72"/>
    <w:multiLevelType w:val="multilevel"/>
    <w:tmpl w:val="F6F29A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C73A9CC"/>
    <w:multiLevelType w:val="multilevel"/>
    <w:tmpl w:val="FC73A9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FCFAFD13"/>
    <w:multiLevelType w:val="multilevel"/>
    <w:tmpl w:val="FCFAFD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FEEC0EB6"/>
    <w:multiLevelType w:val="multilevel"/>
    <w:tmpl w:val="FEEC0E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FFFFF332"/>
    <w:multiLevelType w:val="multilevel"/>
    <w:tmpl w:val="FFFFF3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21CE5FCA"/>
    <w:multiLevelType w:val="multilevel"/>
    <w:tmpl w:val="21CE5F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3AA8829A"/>
    <w:multiLevelType w:val="multilevel"/>
    <w:tmpl w:val="3AA882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5E7EAD4D"/>
    <w:multiLevelType w:val="multilevel"/>
    <w:tmpl w:val="5E7EAD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75EA4038"/>
    <w:multiLevelType w:val="multilevel"/>
    <w:tmpl w:val="75EA40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7D9E863C"/>
    <w:multiLevelType w:val="multilevel"/>
    <w:tmpl w:val="7D9E86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7E36D685"/>
    <w:multiLevelType w:val="multilevel"/>
    <w:tmpl w:val="7E36D6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7E9EED42"/>
    <w:multiLevelType w:val="multilevel"/>
    <w:tmpl w:val="7E9EED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7F6675E4"/>
    <w:multiLevelType w:val="multilevel"/>
    <w:tmpl w:val="7F6675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10"/>
  </w:num>
  <w:num w:numId="3">
    <w:abstractNumId w:val="17"/>
  </w:num>
  <w:num w:numId="4">
    <w:abstractNumId w:val="7"/>
  </w:num>
  <w:num w:numId="5">
    <w:abstractNumId w:val="5"/>
  </w:num>
  <w:num w:numId="6">
    <w:abstractNumId w:val="0"/>
  </w:num>
  <w:num w:numId="7">
    <w:abstractNumId w:val="12"/>
  </w:num>
  <w:num w:numId="8">
    <w:abstractNumId w:val="15"/>
  </w:num>
  <w:num w:numId="9">
    <w:abstractNumId w:val="9"/>
  </w:num>
  <w:num w:numId="10">
    <w:abstractNumId w:val="11"/>
  </w:num>
  <w:num w:numId="11">
    <w:abstractNumId w:val="14"/>
  </w:num>
  <w:num w:numId="12">
    <w:abstractNumId w:val="4"/>
  </w:num>
  <w:num w:numId="13">
    <w:abstractNumId w:val="1"/>
  </w:num>
  <w:num w:numId="14">
    <w:abstractNumId w:val="16"/>
  </w:num>
  <w:num w:numId="15">
    <w:abstractNumId w:val="8"/>
  </w:num>
  <w:num w:numId="16">
    <w:abstractNumId w:val="13"/>
  </w:num>
  <w:num w:numId="17">
    <w:abstractNumId w:val="19"/>
  </w:num>
  <w:num w:numId="18">
    <w:abstractNumId w:val="18"/>
  </w:num>
  <w:num w:numId="19">
    <w:abstractNumId w:val="2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0DF9174"/>
    <w:rsid w:val="D0DF9174"/>
    <w:rsid w:val="D6BB9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2026-07-22T14:53:00Z</dcterms:created>
  <dc:creator>石头剪子布</dc:creator>
  <cp:lastModifiedBy>石头剪子布</cp:lastModifiedBy>
  <dcterms:modified xsi:type="dcterms:W3CDTF">2026-07-22T14:54:20Z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FEE1199503F0EEDCEB68606AFB5A7376_41</vt:lpwstr>
  </property>
</Properties>
</file>