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8"/>
        </w:pBdr>
        <w:spacing w:after="120" w:before="1200"/>
      </w:pPr>
      <w:r>
        <w:rPr>
          <w:b/>
          <w:bCs/>
          <w:color w:val="1F4E79"/>
          <w:sz w:val="44"/>
          <w:szCs w:val="44"/>
        </w:rPr>
        <w:t xml:space="preserve">Projet Behaviour Driven Development</w:t>
      </w:r>
    </w:p>
    <w:p>
      <w:pPr>
        <w:spacing w:after="80"/>
      </w:pPr>
      <w:r>
        <w:rPr>
          <w:color w:val="444444"/>
          <w:sz w:val="28"/>
          <w:szCs w:val="28"/>
        </w:rPr>
        <w:t xml:space="preserve">Concevoir et tester un jeu de plateau par scénarios BDD</w:t>
      </w:r>
    </w:p>
    <w:p>
      <w:pPr>
        <w:spacing w:after="600"/>
      </w:pPr>
      <w:r>
        <w:rPr>
          <w:i/>
          <w:iCs/>
          <w:color w:val="666666"/>
          <w:sz w:val="22"/>
          <w:szCs w:val="22"/>
        </w:rPr>
        <w:t xml:space="preserve">Sujet, modalités et barème de soutenance</w:t>
      </w:r>
    </w:p>
    <w:p>
      <w:pPr>
        <w:spacing w:after="40"/>
      </w:pPr>
      <w:r>
        <w:rPr>
          <w:sz w:val="22"/>
          <w:szCs w:val="22"/>
        </w:rPr>
        <w:t xml:space="preserve">Niveau : école d'ingénieur / master</w:t>
      </w:r>
    </w:p>
    <w:p>
      <w:pPr>
        <w:spacing w:after="40"/>
      </w:pPr>
      <w:r>
        <w:rPr>
          <w:sz w:val="22"/>
          <w:szCs w:val="22"/>
        </w:rPr>
        <w:t xml:space="preserve">Format : en groupe — soutenance de 20 minutes par groupe</w:t>
      </w:r>
    </w:p>
    <w:p>
      <w:r>
        <w:br w:type="page"/>
      </w:r>
    </w:p>
    <w:p>
      <w:pPr>
        <w:pStyle w:val="Heading1"/>
      </w:pPr>
      <w:r>
        <w:t xml:space="preserve">1. Contexte et objectifs</w:t>
      </w:r>
    </w:p>
    <w:p>
      <w:pPr>
        <w:spacing w:after="120" w:line="276"/>
      </w:pPr>
      <w:r>
        <w:t xml:space="preserve">Ce projet prolonge le travail mené en cours autour du jeu Pandemic. L'objectif est d'appliquer le Behaviour Driven Development (BDD) à un domaine riche en règles : un jeu de plateau. Un bon jeu offre un cadre idéal pour le BDD, car il combine des règles déterministes, des états qui évoluent (plateau, ressources, main de cartes), des conditions de victoire et de défaite claires, et de nombreux cas limites à spécifier.</w:t>
      </w:r>
    </w:p>
    <w:p>
      <w:pPr>
        <w:spacing w:after="120" w:line="276"/>
      </w:pPr>
      <w:r>
        <w:t xml:space="preserve">Chaque groupe choisit l'un des quatre jeux proposés, code une application qui en applique les règles, puis en spécifie le comportement à l'aide de scénarios BDD écrits en Gherkin (Cucumber, Behave, SpecFlow, Jest-Cucumber ou équivalent, au choix du groupe). L'application n'a pas besoin d'être jouable via une interface : elle doit avant tout permettre d'exécuter les scénarios. Les scénarios sont entièrement conçus et rédigés par les étudiants : aucun scénario n'est fourni. Le cœur de l'évaluation porte sur la qualité des scénarios inventés et sur la fidélité avec laquelle ils décrivent les règles.</w:t>
      </w:r>
    </w:p>
    <w:p>
      <w:pPr>
        <w:spacing w:after="120" w:line="276"/>
      </w:pPr>
      <w:r>
        <w:rPr>
          <w:b/>
          <w:bCs/>
        </w:rPr>
        <w:t xml:space="preserve">Compétences visées : </w:t>
      </w:r>
      <w:r>
        <w:t xml:space="preserve">traduire des règles métier en comportements observables, écrire des scénarios lisibles par un non-développeur, séparer la logique métier des étapes de test, et couvrir les cas nominaux comme les cas limites.</w:t>
      </w:r>
    </w:p>
    <w:p>
      <w:pPr>
        <w:pStyle w:val="Heading1"/>
      </w:pPr>
      <w:r>
        <w:t xml:space="preserve">2. Modalités de la soutenance</w:t>
      </w:r>
    </w:p>
    <w:p>
      <w:pPr>
        <w:spacing w:after="120" w:line="276"/>
      </w:pPr>
      <w:r>
        <w:t xml:space="preserve">La soutenance dure 20 minutes par groupe et se déroule en trois temps :</w:t>
      </w:r>
    </w:p>
    <w:p>
      <w:pPr>
        <w:pStyle w:val="ListParagraph"/>
        <w:numPr>
          <w:ilvl w:val="0"/>
          <w:numId w:val="2"/>
        </w:numPr>
        <w:spacing w:after="60" w:line="276"/>
      </w:pPr>
      <w:r>
        <w:rPr>
          <w:b/>
          <w:bCs/>
        </w:rPr>
        <w:t xml:space="preserve">Présentation (≈8 min) : </w:t>
      </w:r>
      <w:r>
        <w:t xml:space="preserve">le jeu choisi, le périmètre implémenté, les règles retenues, et l'architecture (séparation domaine / étapes Gherkin).</w:t>
      </w:r>
    </w:p>
    <w:p>
      <w:pPr>
        <w:pStyle w:val="ListParagraph"/>
        <w:numPr>
          <w:ilvl w:val="0"/>
          <w:numId w:val="2"/>
        </w:numPr>
        <w:spacing w:after="60" w:line="276"/>
      </w:pPr>
      <w:r>
        <w:rPr>
          <w:b/>
          <w:bCs/>
        </w:rPr>
        <w:t xml:space="preserve">Démonstration (≈5 min) : </w:t>
      </w:r>
      <w:r>
        <w:t xml:space="preserve">exécution en direct de la suite de scénarios, avec au moins un test qui passe et un test que l'on fait échouer volontairement pour montrer le lien règle vers comportement.</w:t>
      </w:r>
    </w:p>
    <w:p>
      <w:pPr>
        <w:pStyle w:val="ListParagraph"/>
        <w:numPr>
          <w:ilvl w:val="0"/>
          <w:numId w:val="2"/>
        </w:numPr>
        <w:spacing w:after="60" w:line="276"/>
      </w:pPr>
      <w:r>
        <w:rPr>
          <w:b/>
          <w:bCs/>
        </w:rPr>
        <w:t xml:space="preserve">Questions (≈7 min) : </w:t>
      </w:r>
      <w:r>
        <w:t xml:space="preserve">échange sur les choix de conception et exercice « à la volée » (écrire ou modifier un scénario en direct).</w:t>
      </w:r>
    </w:p>
    <w:p>
      <w:pPr>
        <w:spacing w:after="120"/>
      </w:pPr>
      <w:r>
        <w:t xml:space="preserve"/>
      </w:r>
    </w:p>
    <w:p>
      <w:pPr>
        <w:spacing w:after="120" w:line="276"/>
      </w:pPr>
      <w:r>
        <w:rPr>
          <w:b/>
          <w:bCs/>
        </w:rPr>
        <w:t xml:space="preserve">Point d'attention — déterminisme : </w:t>
      </w:r>
      <w:r>
        <w:t xml:space="preserve">pour les jeux comportant un tirage (pioche, dés), l'aléatoire doit être neutralisé par une graine (seed) fixe afin que les scénarios soient reproductibles.</w:t>
      </w:r>
    </w:p>
    <w:p>
      <w:pPr>
        <w:pStyle w:val="Heading1"/>
      </w:pPr>
      <w:r>
        <w:t xml:space="preserve">3. Consignes pour les étudiants</w:t>
      </w:r>
    </w:p>
    <w:p>
      <w:pPr>
        <w:pStyle w:val="ListParagraph"/>
        <w:numPr>
          <w:ilvl w:val="0"/>
          <w:numId w:val="2"/>
        </w:numPr>
        <w:spacing w:after="60" w:line="276"/>
      </w:pPr>
      <w:r>
        <w:t xml:space="preserve">Choisir l'un des quatre jeux proposés (section 4).</w:t>
      </w:r>
    </w:p>
    <w:p>
      <w:pPr>
        <w:pStyle w:val="ListParagraph"/>
        <w:numPr>
          <w:ilvl w:val="0"/>
          <w:numId w:val="2"/>
        </w:numPr>
        <w:spacing w:after="60" w:line="276"/>
      </w:pPr>
      <w:r>
        <w:t xml:space="preserve">Coder une application qui implémente fidèlement les règles retenues (périmètre à cadrer et à assumer). L'application n'a pas besoin d'être jouable via une interface : elle doit surtout permettre d'exécuter les scénarios.</w:t>
      </w:r>
    </w:p>
    <w:p>
      <w:pPr>
        <w:pStyle w:val="ListParagraph"/>
        <w:numPr>
          <w:ilvl w:val="0"/>
          <w:numId w:val="2"/>
        </w:numPr>
        <w:spacing w:after="60" w:line="276"/>
      </w:pPr>
      <w:r>
        <w:t xml:space="preserve">Inventer et rédiger vos propres scénarios en Gherkin : aucun scénario n'est fourni, c'est le cœur du travail.</w:t>
      </w:r>
    </w:p>
    <w:p>
      <w:pPr>
        <w:pStyle w:val="ListParagraph"/>
        <w:numPr>
          <w:ilvl w:val="0"/>
          <w:numId w:val="2"/>
        </w:numPr>
        <w:spacing w:after="60" w:line="276"/>
      </w:pPr>
      <w:r>
        <w:t xml:space="preserve">Rendre les scénarios effectivement exécutés : chaque étape (step) doit être implémentée, aucun scénario ignoré (skipped).</w:t>
      </w:r>
    </w:p>
    <w:p>
      <w:pPr>
        <w:pStyle w:val="ListParagraph"/>
        <w:numPr>
          <w:ilvl w:val="0"/>
          <w:numId w:val="2"/>
        </w:numPr>
        <w:spacing w:after="60" w:line="276"/>
      </w:pPr>
      <w:r>
        <w:t xml:space="preserve">Couvrir les cas nominaux, alternatifs, limites et d'erreur (placement invalide, ressource épuisée, égalité, chaînes de déclenchement).</w:t>
      </w:r>
    </w:p>
    <w:p>
      <w:pPr>
        <w:pStyle w:val="ListParagraph"/>
        <w:numPr>
          <w:ilvl w:val="0"/>
          <w:numId w:val="2"/>
        </w:numPr>
        <w:spacing w:after="60" w:line="276"/>
      </w:pPr>
      <w:r>
        <w:t xml:space="preserve">Séparer clairement la logique métier des étapes Gherkin : les steps orchestrent, le domaine décide.</w:t>
      </w:r>
    </w:p>
    <w:p>
      <w:pPr>
        <w:pStyle w:val="ListParagraph"/>
        <w:numPr>
          <w:ilvl w:val="0"/>
          <w:numId w:val="2"/>
        </w:numPr>
        <w:spacing w:after="60" w:line="276"/>
      </w:pPr>
      <w:r>
        <w:t xml:space="preserve">Neutraliser l'aléatoire par une seed pour garantir la reproductibilité des scénarios.</w:t>
      </w:r>
    </w:p>
    <w:p>
      <w:r>
        <w:br w:type="page"/>
      </w:r>
    </w:p>
    <w:p>
      <w:pPr>
        <w:pStyle w:val="Heading1"/>
      </w:pPr>
      <w:r>
        <w:t xml:space="preserve">4. Choisir son jeu</w:t>
      </w:r>
    </w:p>
    <w:p>
      <w:pPr>
        <w:spacing w:after="120" w:line="276"/>
      </w:pPr>
      <w:r>
        <w:t xml:space="preserve">Chaque groupe choisit l'un des quatre jeux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4D4" w:sz="2"/>
              <w:left w:val="single" w:color="B7C4D4" w:sz="2"/>
              <w:bottom w:val="single" w:color="B7C4D4" w:sz="2"/>
              <w:right w:val="single" w:color="B7C4D4" w:sz="2"/>
            </w:tcBorders>
            <w:shd w:fill="1F4E79" w:val="clear"/>
            <w:tcMar>
              <w:top w:type="dxa" w:w="80"/>
              <w:left w:type="dxa" w:w="120"/>
              <w:bottom w:type="dxa" w:w="80"/>
              <w:right w:type="dxa" w:w="120"/>
            </w:tcMar>
          </w:tcPr>
          <w:p>
            <w:r>
              <w:rPr>
                <w:b/>
                <w:bCs/>
                <w:color w:val="FFFFFF"/>
                <w:sz w:val="20"/>
                <w:szCs w:val="20"/>
              </w:rPr>
              <w:t xml:space="preserve">Jeu</w:t>
            </w:r>
          </w:p>
        </w:tc>
        <w:tc>
          <w:tcPr>
            <w:tcW w:type="dxa" w:w="6960"/>
            <w:tcBorders>
              <w:top w:val="single" w:color="B7C4D4" w:sz="2"/>
              <w:left w:val="single" w:color="B7C4D4" w:sz="2"/>
              <w:bottom w:val="single" w:color="B7C4D4" w:sz="2"/>
              <w:right w:val="single" w:color="B7C4D4" w:sz="2"/>
            </w:tcBorders>
            <w:shd w:fill="1F4E79" w:val="clear"/>
            <w:tcMar>
              <w:top w:type="dxa" w:w="80"/>
              <w:left w:type="dxa" w:w="120"/>
              <w:bottom w:type="dxa" w:w="80"/>
              <w:right w:type="dxa" w:w="120"/>
            </w:tcMar>
          </w:tcPr>
          <w:p>
            <w:r>
              <w:rPr>
                <w:b/>
                <w:bCs/>
                <w:color w:val="FFFFFF"/>
                <w:sz w:val="20"/>
                <w:szCs w:val="20"/>
              </w:rPr>
              <w:t xml:space="preserve">Mécanique principale</w:t>
            </w:r>
          </w:p>
        </w:tc>
      </w:tr>
      <w:tr>
        <w:tc>
          <w:tcPr>
            <w:tcW w:type="dxa" w:w="24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Kingdomino</w:t>
            </w:r>
          </w:p>
        </w:tc>
        <w:tc>
          <w:tcPr>
            <w:tcW w:type="dxa" w:w="69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Pose de dominos sur une grille 5x5, score surface x couronnes</w:t>
            </w:r>
          </w:p>
        </w:tc>
      </w:tr>
      <w:tr>
        <w:tc>
          <w:tcPr>
            <w:tcW w:type="dxa" w:w="24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Cascadia</w:t>
            </w:r>
          </w:p>
        </w:tc>
        <w:tc>
          <w:tcPr>
            <w:tcW w:type="dxa" w:w="696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Pose de tuiles + animaux, objectifs de faune variables</w:t>
            </w:r>
          </w:p>
        </w:tc>
      </w:tr>
      <w:tr>
        <w:tc>
          <w:tcPr>
            <w:tcW w:type="dxa" w:w="24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Splendor</w:t>
            </w:r>
          </w:p>
        </w:tc>
        <w:tc>
          <w:tcPr>
            <w:tcW w:type="dxa" w:w="69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Économie / engine building, achat de cartes à réductions</w:t>
            </w:r>
          </w:p>
        </w:tc>
      </w:tr>
      <w:tr>
        <w:tc>
          <w:tcPr>
            <w:tcW w:type="dxa" w:w="24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Takenoko</w:t>
            </w:r>
          </w:p>
        </w:tc>
        <w:tc>
          <w:tcPr>
            <w:tcW w:type="dxa" w:w="696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Croissance de bambou, mouvement panda / jardinier, objectifs</w:t>
            </w:r>
          </w:p>
        </w:tc>
      </w:tr>
    </w:tbl>
    <w:p>
      <w:pPr>
        <w:spacing w:after="120"/>
      </w:pPr>
      <w:r>
        <w:t xml:space="preserve"/>
      </w:r>
    </w:p>
    <w:p>
      <w:pPr>
        <w:spacing w:after="120" w:line="276"/>
      </w:pPr>
      <w:r>
        <w:rPr>
          <w:b/>
          <w:bCs/>
        </w:rPr>
        <w:t xml:space="preserve">Note : </w:t>
      </w:r>
      <w:r>
        <w:t xml:space="preserve">le travail attendu — inventer les scénarios BDD — est identique quel que soit le jeu retenu.</w:t>
      </w:r>
    </w:p>
    <w:p>
      <w:r>
        <w:br w:type="page"/>
      </w:r>
    </w:p>
    <w:p>
      <w:pPr>
        <w:pStyle w:val="Heading1"/>
      </w:pPr>
      <w:r>
        <w:t xml:space="preserve">5. Barème de soutenance (/20)</w:t>
      </w:r>
    </w:p>
    <w:p>
      <w:pPr>
        <w:spacing w:after="120" w:line="276"/>
      </w:pPr>
      <w:r>
        <w:t xml:space="preserve">Le barème privilégie le cœur de l'exercice — la qualité des scénarios BDD conçus par les étudiants et leur lien avec le code — plutôt que la seule bonne marche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B7C4D4" w:sz="2"/>
              <w:left w:val="single" w:color="B7C4D4" w:sz="2"/>
              <w:bottom w:val="single" w:color="B7C4D4" w:sz="2"/>
              <w:right w:val="single" w:color="B7C4D4" w:sz="2"/>
            </w:tcBorders>
            <w:shd w:fill="1F4E79" w:val="clear"/>
            <w:tcMar>
              <w:top w:type="dxa" w:w="80"/>
              <w:left w:type="dxa" w:w="120"/>
              <w:bottom w:type="dxa" w:w="80"/>
              <w:right w:type="dxa" w:w="120"/>
            </w:tcMar>
          </w:tcPr>
          <w:p>
            <w:r>
              <w:rPr>
                <w:b/>
                <w:bCs/>
                <w:color w:val="FFFFFF"/>
                <w:sz w:val="20"/>
                <w:szCs w:val="20"/>
              </w:rPr>
              <w:t xml:space="preserve">Critère</w:t>
            </w:r>
          </w:p>
        </w:tc>
        <w:tc>
          <w:tcPr>
            <w:tcW w:type="dxa" w:w="5560"/>
            <w:tcBorders>
              <w:top w:val="single" w:color="B7C4D4" w:sz="2"/>
              <w:left w:val="single" w:color="B7C4D4" w:sz="2"/>
              <w:bottom w:val="single" w:color="B7C4D4" w:sz="2"/>
              <w:right w:val="single" w:color="B7C4D4" w:sz="2"/>
            </w:tcBorders>
            <w:shd w:fill="1F4E79" w:val="clear"/>
            <w:tcMar>
              <w:top w:type="dxa" w:w="80"/>
              <w:left w:type="dxa" w:w="120"/>
              <w:bottom w:type="dxa" w:w="80"/>
              <w:right w:type="dxa" w:w="120"/>
            </w:tcMar>
          </w:tcPr>
          <w:p>
            <w:r>
              <w:rPr>
                <w:b/>
                <w:bCs/>
                <w:color w:val="FFFFFF"/>
                <w:sz w:val="20"/>
                <w:szCs w:val="20"/>
              </w:rPr>
              <w:t xml:space="preserve">Détail</w:t>
            </w:r>
          </w:p>
        </w:tc>
        <w:tc>
          <w:tcPr>
            <w:tcW w:type="dxa" w:w="1300"/>
            <w:tcBorders>
              <w:top w:val="single" w:color="B7C4D4" w:sz="2"/>
              <w:left w:val="single" w:color="B7C4D4" w:sz="2"/>
              <w:bottom w:val="single" w:color="B7C4D4" w:sz="2"/>
              <w:right w:val="single" w:color="B7C4D4" w:sz="2"/>
            </w:tcBorders>
            <w:shd w:fill="1F4E79" w:val="clear"/>
            <w:tcMar>
              <w:top w:type="dxa" w:w="80"/>
              <w:left w:type="dxa" w:w="120"/>
              <w:bottom w:type="dxa" w:w="80"/>
              <w:right w:type="dxa" w:w="120"/>
            </w:tcMar>
          </w:tcPr>
          <w:p>
            <w:r>
              <w:rPr>
                <w:b/>
                <w:bCs/>
                <w:color w:val="FFFFFF"/>
                <w:sz w:val="20"/>
                <w:szCs w:val="20"/>
              </w:rPr>
              <w:t xml:space="preserve">Points</w:t>
            </w:r>
          </w:p>
        </w:tc>
      </w:tr>
      <w:tr>
        <w:tc>
          <w:tcPr>
            <w:tcW w:type="dxa" w:w="25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Qualité des scénarios BDD</w:t>
            </w:r>
          </w:p>
        </w:tc>
        <w:tc>
          <w:tcPr>
            <w:tcW w:type="dxa" w:w="55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Couverture (nominal, alternatif, limites, erreurs) ; lisibilité par un non-développeur ; bon usage Given/When/Then ; pas de détail d'implémentation dans les steps.</w:t>
            </w:r>
          </w:p>
        </w:tc>
        <w:tc>
          <w:tcPr>
            <w:tcW w:type="dxa" w:w="13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bCs/>
                <w:sz w:val="20"/>
                <w:szCs w:val="20"/>
              </w:rPr>
              <w:t xml:space="preserve">/6</w:t>
            </w:r>
          </w:p>
        </w:tc>
      </w:tr>
      <w:tr>
        <w:tc>
          <w:tcPr>
            <w:tcW w:type="dxa" w:w="25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Lien scénarios vers code</w:t>
            </w:r>
          </w:p>
        </w:tc>
        <w:tc>
          <w:tcPr>
            <w:tcW w:type="dxa" w:w="556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Scénarios réellement exécutés (steps implémentés, non ignorés) ; suite au vert ; règles métier correctement traduites.</w:t>
            </w:r>
          </w:p>
        </w:tc>
        <w:tc>
          <w:tcPr>
            <w:tcW w:type="dxa" w:w="13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bCs/>
                <w:sz w:val="20"/>
                <w:szCs w:val="20"/>
              </w:rPr>
              <w:t xml:space="preserve">/4</w:t>
            </w:r>
          </w:p>
        </w:tc>
      </w:tr>
      <w:tr>
        <w:tc>
          <w:tcPr>
            <w:tcW w:type="dxa" w:w="25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Qualité du code &amp; conception</w:t>
            </w:r>
          </w:p>
        </w:tc>
        <w:tc>
          <w:tcPr>
            <w:tcW w:type="dxa" w:w="55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Séparation domaine / steps ; testabilité (déterminisme, seed) ; lisibilité ; gestion des états.</w:t>
            </w:r>
          </w:p>
        </w:tc>
        <w:tc>
          <w:tcPr>
            <w:tcW w:type="dxa" w:w="13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bCs/>
                <w:sz w:val="20"/>
                <w:szCs w:val="20"/>
              </w:rPr>
              <w:t xml:space="preserve">/3</w:t>
            </w:r>
          </w:p>
        </w:tc>
      </w:tr>
      <w:tr>
        <w:tc>
          <w:tcPr>
            <w:tcW w:type="dxa" w:w="25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Couverture &amp; robustesse</w:t>
            </w:r>
          </w:p>
        </w:tc>
        <w:tc>
          <w:tcPr>
            <w:tcW w:type="dxa" w:w="556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Cas limites traités (chaînes, égalités, ressources épuisées) ; gestion des entrées invalides.</w:t>
            </w:r>
          </w:p>
        </w:tc>
        <w:tc>
          <w:tcPr>
            <w:tcW w:type="dxa" w:w="13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bCs/>
                <w:sz w:val="20"/>
                <w:szCs w:val="20"/>
              </w:rPr>
              <w:t xml:space="preserve">/2</w:t>
            </w:r>
          </w:p>
        </w:tc>
      </w:tr>
      <w:tr>
        <w:tc>
          <w:tcPr>
            <w:tcW w:type="dxa" w:w="25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Présentation orale</w:t>
            </w:r>
          </w:p>
        </w:tc>
        <w:tc>
          <w:tcPr>
            <w:tcW w:type="dxa" w:w="55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Clarté, structure, respect du temps, démonstration live d'un test qui passe / échoue.</w:t>
            </w:r>
          </w:p>
        </w:tc>
        <w:tc>
          <w:tcPr>
            <w:tcW w:type="dxa" w:w="13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bCs/>
                <w:sz w:val="20"/>
                <w:szCs w:val="20"/>
              </w:rPr>
              <w:t xml:space="preserve">/2</w:t>
            </w:r>
          </w:p>
        </w:tc>
      </w:tr>
      <w:tr>
        <w:tc>
          <w:tcPr>
            <w:tcW w:type="dxa" w:w="25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Réponses aux questions</w:t>
            </w:r>
          </w:p>
        </w:tc>
        <w:tc>
          <w:tcPr>
            <w:tcW w:type="dxa" w:w="556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val="false"/>
                <w:bCs w:val="false"/>
                <w:sz w:val="20"/>
                <w:szCs w:val="20"/>
              </w:rPr>
              <w:t xml:space="preserve">Compréhension des choix ; capacité à écrire ou modifier un scénario à la volée.</w:t>
            </w:r>
          </w:p>
        </w:tc>
        <w:tc>
          <w:tcPr>
            <w:tcW w:type="dxa" w:w="1300"/>
            <w:tcBorders>
              <w:top w:val="single" w:color="B7C4D4" w:sz="2"/>
              <w:left w:val="single" w:color="B7C4D4" w:sz="2"/>
              <w:bottom w:val="single" w:color="B7C4D4" w:sz="2"/>
              <w:right w:val="single" w:color="B7C4D4" w:sz="2"/>
            </w:tcBorders>
            <w:shd w:fill="EAF1F8" w:val="clear"/>
            <w:tcMar>
              <w:top w:type="dxa" w:w="70"/>
              <w:left w:type="dxa" w:w="120"/>
              <w:bottom w:type="dxa" w:w="70"/>
              <w:right w:type="dxa" w:w="120"/>
            </w:tcMar>
          </w:tcPr>
          <w:p>
            <w:r>
              <w:rPr>
                <w:b/>
                <w:bCs/>
                <w:sz w:val="20"/>
                <w:szCs w:val="20"/>
              </w:rPr>
              <w:t xml:space="preserve">/3</w:t>
            </w:r>
          </w:p>
        </w:tc>
      </w:tr>
      <w:tr>
        <w:tc>
          <w:tcPr>
            <w:tcW w:type="dxa" w:w="25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Total</w:t>
            </w:r>
          </w:p>
        </w:tc>
        <w:tc>
          <w:tcPr>
            <w:tcW w:type="dxa" w:w="556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val="false"/>
                <w:bCs w:val="false"/>
                <w:sz w:val="20"/>
                <w:szCs w:val="20"/>
              </w:rPr>
              <w:t xml:space="preserve"/>
            </w:r>
          </w:p>
        </w:tc>
        <w:tc>
          <w:tcPr>
            <w:tcW w:type="dxa" w:w="1300"/>
            <w:tcBorders>
              <w:top w:val="single" w:color="B7C4D4" w:sz="2"/>
              <w:left w:val="single" w:color="B7C4D4" w:sz="2"/>
              <w:bottom w:val="single" w:color="B7C4D4" w:sz="2"/>
              <w:right w:val="single" w:color="B7C4D4" w:sz="2"/>
            </w:tcBorders>
            <w:shd w:fill="FFFFFF" w:val="clear"/>
            <w:tcMar>
              <w:top w:type="dxa" w:w="70"/>
              <w:left w:type="dxa" w:w="120"/>
              <w:bottom w:type="dxa" w:w="70"/>
              <w:right w:type="dxa" w:w="120"/>
            </w:tcMar>
          </w:tcPr>
          <w:p>
            <w:r>
              <w:rPr>
                <w:b/>
                <w:bCs/>
                <w:sz w:val="20"/>
                <w:szCs w:val="20"/>
              </w:rPr>
              <w:t xml:space="preserve">/20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tabs>
        <w:tab w:val="right" w:pos="9026"/>
      </w:tabs>
    </w:pPr>
    <w:r>
      <w:rPr>
        <w:color w:val="888888"/>
        <w:sz w:val="16"/>
        <w:szCs w:val="16"/>
      </w:rPr>
      <w:t xml:space="preserve">Projet BDD — Jeu de plateau</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4"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2026-07-02T20:31:23.707Z</dcterms:created>
  <dcterms:modified xsi:type="dcterms:W3CDTF">2026-07-02T20:31:23.707Z</dcterms:modified>
</cp:coreProperties>
</file>

<file path=docProps/custom.xml><?xml version="1.0" encoding="utf-8"?>
<Properties xmlns="http://schemas.openxmlformats.org/officeDocument/2006/custom-properties" xmlns:vt="http://schemas.openxmlformats.org/officeDocument/2006/docPropsVTypes"/>
</file>