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41E" w:rsidRPr="00E5341E" w:rsidRDefault="00E5341E" w:rsidP="00E53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341E">
        <w:rPr>
          <w:rFonts w:ascii="Times New Roman" w:eastAsia="Times New Roman" w:hAnsi="Times New Roman" w:cs="Times New Roman"/>
          <w:b/>
          <w:bCs/>
          <w:sz w:val="36"/>
          <w:szCs w:val="36"/>
        </w:rPr>
        <w:t>LEGAL DOCUMENT FORMATTER: Streamlining Legal Drafting and Compliance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41E">
        <w:rPr>
          <w:rFonts w:ascii="Times New Roman" w:eastAsia="Times New Roman" w:hAnsi="Times New Roman" w:cs="Times New Roman"/>
          <w:sz w:val="24"/>
          <w:szCs w:val="24"/>
        </w:rPr>
        <w:t>Emeka</w:t>
      </w:r>
      <w:proofErr w:type="spellEnd"/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Goodness Locksley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br/>
      </w: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August 2025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The Legal Document Formatter (Legal Formatter) is an intelligent software solution designed to automate the structuring, formatting, and standardization of legal documents.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br/>
        <w:t>It ensures that legal drafts—such as contracts, court filings, affidavits, and pleadings—comply with jurisdiction-specific rules, corporate branding standards, and industry best practices.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In an era where law firms, corporate legal departments, and compliance teams face increasing workloads, the Legal Formatter reduces time spent on manual formatting while improving document accuracy and consistency.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br/>
        <w:t>By leveraging template-driven automation, advanced text processing, and real-time compliance checks, this tool helps legal professionals focus more on substantive legal work rather than repetitive editing tasks.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 to Legal Document Formatting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Legal document formatting involves applying specific structural, stylistic, and regulatory requirements to legal drafts.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br/>
        <w:t>For example:</w:t>
      </w:r>
    </w:p>
    <w:p w:rsidR="00E5341E" w:rsidRPr="00E5341E" w:rsidRDefault="00E5341E" w:rsidP="00E53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Court rules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may dictate margin sizes, citation formats, and page numbering.</w:t>
      </w:r>
    </w:p>
    <w:p w:rsidR="00E5341E" w:rsidRPr="00E5341E" w:rsidRDefault="00E5341E" w:rsidP="00E53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standards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may require brand-consistent headers, logos, and font choices.</w:t>
      </w:r>
    </w:p>
    <w:p w:rsidR="00E5341E" w:rsidRPr="00E5341E" w:rsidRDefault="00E5341E" w:rsidP="00E53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compliance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may involve adapting documents for cross-border transactions or multi-jurisdictional filings.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Traditionally, formatting was done manually—a process prone to errors and inconsistencies. The Legal Formatter automates this process, ensuring uniformity and compliance in every document.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3. Importance in Modern Legal Practice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The legal industry is under increasing pressure to:</w:t>
      </w:r>
    </w:p>
    <w:p w:rsidR="00E5341E" w:rsidRPr="00E5341E" w:rsidRDefault="00E5341E" w:rsidP="00E53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Deliver high-quality work faster.</w:t>
      </w:r>
    </w:p>
    <w:p w:rsidR="00E5341E" w:rsidRPr="00E5341E" w:rsidRDefault="00E5341E" w:rsidP="00E53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lastRenderedPageBreak/>
        <w:t>Reduce costs for clients.</w:t>
      </w:r>
    </w:p>
    <w:p w:rsidR="00E5341E" w:rsidRPr="00E5341E" w:rsidRDefault="00E5341E" w:rsidP="00E53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Maintain compliance with strict procedural rules.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The Legal Formatter addresses these needs by:</w:t>
      </w:r>
    </w:p>
    <w:p w:rsidR="00E5341E" w:rsidRPr="00E5341E" w:rsidRDefault="00E5341E" w:rsidP="00E53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Saving Time: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Automating formatting reduces drafting time by up to 60%.</w:t>
      </w:r>
    </w:p>
    <w:p w:rsidR="00E5341E" w:rsidRPr="00E5341E" w:rsidRDefault="00E5341E" w:rsidP="00E53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Minimizing Errors: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Ensuring every document meets court or internal guidelines.</w:t>
      </w:r>
    </w:p>
    <w:p w:rsidR="00E5341E" w:rsidRPr="00E5341E" w:rsidRDefault="00E5341E" w:rsidP="00E53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Enhancing Professionalism: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Presenting polished, consistent legal work improves credibility.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4. Core Principles of Legal Formatting Automation</w:t>
      </w:r>
    </w:p>
    <w:p w:rsidR="00E5341E" w:rsidRPr="00E5341E" w:rsidRDefault="00E5341E" w:rsidP="00E53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Rule Compliance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Adheres to court, jurisdictional, and industry formatting standards.</w:t>
      </w:r>
    </w:p>
    <w:p w:rsidR="00E5341E" w:rsidRPr="00E5341E" w:rsidRDefault="00E5341E" w:rsidP="00E53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Consistency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Ensures all documents follow the same professional structure.</w:t>
      </w:r>
    </w:p>
    <w:p w:rsidR="00E5341E" w:rsidRPr="00E5341E" w:rsidRDefault="00E5341E" w:rsidP="00E53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Error Reduction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Detects and corrects common formatting mistakes automatically.</w:t>
      </w:r>
    </w:p>
    <w:p w:rsidR="00E5341E" w:rsidRPr="00E5341E" w:rsidRDefault="00E5341E" w:rsidP="00E53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Works for single documents or large-scale batch processing.</w:t>
      </w:r>
    </w:p>
    <w:p w:rsidR="00E5341E" w:rsidRPr="00E5341E" w:rsidRDefault="00E5341E" w:rsidP="00E53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User Customization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Allows legal teams to adapt templates to their specific needs.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5. Data &amp; Content Input Methods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The Legal Formatter accepts content from multiple sources:</w:t>
      </w:r>
    </w:p>
    <w:p w:rsidR="00E5341E" w:rsidRPr="00E5341E" w:rsidRDefault="00E5341E" w:rsidP="00E53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Manual Draft Input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Lawyers can paste or type content directly into the platform.</w:t>
      </w:r>
    </w:p>
    <w:p w:rsidR="00E5341E" w:rsidRPr="00E5341E" w:rsidRDefault="00E5341E" w:rsidP="00E53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Upload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Supports formats like </w:t>
      </w:r>
      <w:r w:rsidRPr="00E5341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341E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341E">
        <w:rPr>
          <w:rFonts w:ascii="Courier New" w:eastAsia="Times New Roman" w:hAnsi="Courier New" w:cs="Courier New"/>
          <w:sz w:val="20"/>
          <w:szCs w:val="20"/>
        </w:rPr>
        <w:t>.pdf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5341E">
        <w:rPr>
          <w:rFonts w:ascii="Courier New" w:eastAsia="Times New Roman" w:hAnsi="Courier New" w:cs="Courier New"/>
          <w:sz w:val="20"/>
          <w:szCs w:val="20"/>
        </w:rPr>
        <w:t>.txt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341E" w:rsidRPr="00E5341E" w:rsidRDefault="00E5341E" w:rsidP="00E53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Case Management Systems (CMS)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Syncs with platforms like Clio, </w:t>
      </w:r>
      <w:proofErr w:type="spellStart"/>
      <w:r w:rsidRPr="00E5341E">
        <w:rPr>
          <w:rFonts w:ascii="Times New Roman" w:eastAsia="Times New Roman" w:hAnsi="Times New Roman" w:cs="Times New Roman"/>
          <w:sz w:val="24"/>
          <w:szCs w:val="24"/>
        </w:rPr>
        <w:t>MyCase</w:t>
      </w:r>
      <w:proofErr w:type="spellEnd"/>
      <w:r w:rsidRPr="00E5341E">
        <w:rPr>
          <w:rFonts w:ascii="Times New Roman" w:eastAsia="Times New Roman" w:hAnsi="Times New Roman" w:cs="Times New Roman"/>
          <w:sz w:val="24"/>
          <w:szCs w:val="24"/>
        </w:rPr>
        <w:t>, or SharePoint.</w:t>
      </w:r>
    </w:p>
    <w:p w:rsidR="00E5341E" w:rsidRPr="00E5341E" w:rsidRDefault="00E5341E" w:rsidP="00E53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– Enables automated document intake from corporate databases or court portals.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6. Formatting &amp; Compliance Features</w:t>
      </w:r>
    </w:p>
    <w:p w:rsidR="00E5341E" w:rsidRPr="00E5341E" w:rsidRDefault="00E5341E" w:rsidP="00E53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Citation Standardization: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Automatically adjusts citations to follow Bluebook, OSCOLA, or jurisdiction-specific rules.</w:t>
      </w:r>
    </w:p>
    <w:p w:rsidR="00E5341E" w:rsidRPr="00E5341E" w:rsidRDefault="00E5341E" w:rsidP="00E53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Clause Numbering &amp; Cross-Referencing: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Maintains correct numbering and references even after edits.</w:t>
      </w:r>
    </w:p>
    <w:p w:rsidR="00E5341E" w:rsidRPr="00E5341E" w:rsidRDefault="00E5341E" w:rsidP="00E53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Page Layout Enforcement: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Applies margins, font styles, and line spacing as per legal rules.</w:t>
      </w:r>
    </w:p>
    <w:p w:rsidR="00E5341E" w:rsidRPr="00E5341E" w:rsidRDefault="00E5341E" w:rsidP="00E53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Authorities &amp; Table of Contents Generation: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Updates dynamically as the document changes.</w:t>
      </w:r>
    </w:p>
    <w:p w:rsidR="00E5341E" w:rsidRPr="00E5341E" w:rsidRDefault="00E5341E" w:rsidP="00E53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Jurisdiction-Specific Templates: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Preloaded templates for common filings in multiple regions.</w:t>
      </w:r>
    </w:p>
    <w:p w:rsidR="00E5341E" w:rsidRPr="00E5341E" w:rsidRDefault="00E5341E" w:rsidP="00E53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Redaction Tools: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Masks sensitive information before public filing.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Technologies </w:t>
      </w:r>
      <w:proofErr w:type="gramStart"/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Behind</w:t>
      </w:r>
      <w:proofErr w:type="gramEnd"/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Legal Formatter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The Legal Formatter leverages:</w:t>
      </w:r>
    </w:p>
    <w:p w:rsidR="00E5341E" w:rsidRPr="00E5341E" w:rsidRDefault="00E5341E" w:rsidP="00E53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To detect legal clauses, citations, and headings.</w:t>
      </w:r>
    </w:p>
    <w:p w:rsidR="00E5341E" w:rsidRPr="00E5341E" w:rsidRDefault="00E5341E" w:rsidP="00E53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Engines: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Encodes jurisdiction-specific formatting rules.</w:t>
      </w:r>
    </w:p>
    <w:p w:rsidR="00E5341E" w:rsidRPr="00E5341E" w:rsidRDefault="00E5341E" w:rsidP="00E53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Conversion APIs: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Converts between </w:t>
      </w:r>
      <w:r w:rsidRPr="00E5341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341E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341E">
        <w:rPr>
          <w:rFonts w:ascii="Courier New" w:eastAsia="Times New Roman" w:hAnsi="Courier New" w:cs="Courier New"/>
          <w:sz w:val="20"/>
          <w:szCs w:val="20"/>
        </w:rPr>
        <w:t>.pdf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341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341E">
        <w:rPr>
          <w:rFonts w:ascii="Courier New" w:eastAsia="Times New Roman" w:hAnsi="Courier New" w:cs="Courier New"/>
          <w:sz w:val="20"/>
          <w:szCs w:val="20"/>
        </w:rPr>
        <w:t>odt</w:t>
      </w:r>
      <w:proofErr w:type="spellEnd"/>
      <w:r w:rsidRPr="00E5341E">
        <w:rPr>
          <w:rFonts w:ascii="Times New Roman" w:eastAsia="Times New Roman" w:hAnsi="Times New Roman" w:cs="Times New Roman"/>
          <w:sz w:val="24"/>
          <w:szCs w:val="24"/>
        </w:rPr>
        <w:t>, and HTML.</w:t>
      </w:r>
    </w:p>
    <w:p w:rsidR="00E5341E" w:rsidRPr="00E5341E" w:rsidRDefault="00E5341E" w:rsidP="00E53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Cloud Integration: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Allows remote access, version control, and collaboration.</w:t>
      </w:r>
    </w:p>
    <w:p w:rsidR="00E5341E" w:rsidRPr="00E5341E" w:rsidRDefault="00E5341E" w:rsidP="00E53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Suggests formatting corrections based on historical usage patterns.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8. Case Studies / Examples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1 – Law Firm Efficiency Boost</w:t>
      </w:r>
    </w:p>
    <w:p w:rsidR="00E5341E" w:rsidRPr="00E5341E" w:rsidRDefault="00E5341E" w:rsidP="00E53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 mid-size law firm spent excessive time formatting litigation documents for multiple courts.</w:t>
      </w:r>
    </w:p>
    <w:p w:rsidR="00E5341E" w:rsidRPr="00E5341E" w:rsidRDefault="00E5341E" w:rsidP="00E53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Implemented Legal Formatter with preloaded court templates.</w:t>
      </w:r>
    </w:p>
    <w:p w:rsidR="00E5341E" w:rsidRPr="00E5341E" w:rsidRDefault="00E5341E" w:rsidP="00E53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Reduced document prep time by 55%, freeing lawyers for billable case work.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2 – Corporate Legal Compliance</w:t>
      </w:r>
    </w:p>
    <w:p w:rsidR="00E5341E" w:rsidRPr="00E5341E" w:rsidRDefault="00E5341E" w:rsidP="00E53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A multinational corporation needed consistent formatting for contracts across offices in different countries.</w:t>
      </w:r>
    </w:p>
    <w:p w:rsidR="00E5341E" w:rsidRPr="00E5341E" w:rsidRDefault="00E5341E" w:rsidP="00E53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Developed standardized templates for each jurisdiction.</w:t>
      </w:r>
    </w:p>
    <w:p w:rsidR="00E5341E" w:rsidRPr="00E5341E" w:rsidRDefault="00E5341E" w:rsidP="00E53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Eliminated inconsistent branding and avoided legal rejections due to format errors.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9. Benefits &amp; Challenges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341E" w:rsidRPr="00E5341E" w:rsidRDefault="00E5341E" w:rsidP="00E53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Significant time savings.</w:t>
      </w:r>
    </w:p>
    <w:p w:rsidR="00E5341E" w:rsidRPr="00E5341E" w:rsidRDefault="00E5341E" w:rsidP="00E53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Reduced risk of court rejections.</w:t>
      </w:r>
    </w:p>
    <w:p w:rsidR="00E5341E" w:rsidRPr="00E5341E" w:rsidRDefault="00E5341E" w:rsidP="00E53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Consistent professional image.</w:t>
      </w:r>
    </w:p>
    <w:p w:rsidR="00E5341E" w:rsidRPr="00E5341E" w:rsidRDefault="00E5341E" w:rsidP="00E53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Lower operational costs in legal departments.</w:t>
      </w:r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Challenges</w:t>
      </w:r>
    </w:p>
    <w:p w:rsidR="00E5341E" w:rsidRPr="00E5341E" w:rsidRDefault="00E5341E" w:rsidP="00E53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Initial setup requires defining templates and rules.</w:t>
      </w:r>
    </w:p>
    <w:p w:rsidR="00E5341E" w:rsidRPr="00E5341E" w:rsidRDefault="00E5341E" w:rsidP="00E53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Staff training on system usage.</w:t>
      </w:r>
    </w:p>
    <w:p w:rsidR="00E5341E" w:rsidRPr="00E5341E" w:rsidRDefault="00E5341E" w:rsidP="00E53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Dependence on regular software updates to reflect new court rules.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10. Best Practices</w:t>
      </w:r>
    </w:p>
    <w:p w:rsidR="00E5341E" w:rsidRPr="00E5341E" w:rsidRDefault="00E5341E" w:rsidP="00E53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Core Templates: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Focus on most frequently used document types first.</w:t>
      </w:r>
    </w:p>
    <w:p w:rsidR="00E5341E" w:rsidRPr="00E5341E" w:rsidRDefault="00E5341E" w:rsidP="00E53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 Across Teams: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Involve both legal and IT teams in setup.</w:t>
      </w:r>
    </w:p>
    <w:p w:rsidR="00E5341E" w:rsidRPr="00E5341E" w:rsidRDefault="00E5341E" w:rsidP="00E53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Rule Updates: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Regularly update court/jurisdictional rules in the system.</w:t>
      </w:r>
    </w:p>
    <w:p w:rsidR="00E5341E" w:rsidRPr="00E5341E" w:rsidRDefault="00E5341E" w:rsidP="00E53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Train Users Thoroughly: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Ensure lawyers and paralegals can use the tool effectively.</w:t>
      </w:r>
    </w:p>
    <w:p w:rsidR="00E5341E" w:rsidRPr="00E5341E" w:rsidRDefault="00E5341E" w:rsidP="00E53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with Case Management: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 Reduce redundant manual input.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  <w:bookmarkStart w:id="0" w:name="_GoBack"/>
      <w:bookmarkEnd w:id="0"/>
    </w:p>
    <w:p w:rsidR="00E5341E" w:rsidRPr="00E5341E" w:rsidRDefault="00E5341E" w:rsidP="00E53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The Legal Formatter represents a significant leap forward in legal drafting efficiency and compliance.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br/>
        <w:t>By combining legal expertise with automation technology, it empowers legal professionals to focus on strategy, advocacy, and client service while eliminating tedious formatting work.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br/>
        <w:t>For firms and organizations looking to modernize, adopting the Legal Formatter can lead to substantial cost savings, reduced turnaround times, and improved compliance.</w:t>
      </w:r>
    </w:p>
    <w:p w:rsidR="00E5341E" w:rsidRPr="00E5341E" w:rsidRDefault="00E5341E" w:rsidP="00E53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341E" w:rsidRPr="00E5341E" w:rsidRDefault="00E5341E" w:rsidP="00E53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41E">
        <w:rPr>
          <w:rFonts w:ascii="Times New Roman" w:eastAsia="Times New Roman" w:hAnsi="Times New Roman" w:cs="Times New Roman"/>
          <w:b/>
          <w:bCs/>
          <w:sz w:val="27"/>
          <w:szCs w:val="27"/>
        </w:rPr>
        <w:t>12. References</w:t>
      </w:r>
    </w:p>
    <w:p w:rsidR="00E5341E" w:rsidRPr="00E5341E" w:rsidRDefault="00E5341E" w:rsidP="00E53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Garner, B. A. (2019). </w:t>
      </w:r>
      <w:r w:rsidRPr="00E5341E">
        <w:rPr>
          <w:rFonts w:ascii="Times New Roman" w:eastAsia="Times New Roman" w:hAnsi="Times New Roman" w:cs="Times New Roman"/>
          <w:i/>
          <w:iCs/>
          <w:sz w:val="24"/>
          <w:szCs w:val="24"/>
        </w:rPr>
        <w:t>The Redbook: A Manual on Legal Style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341E" w:rsidRPr="00E5341E" w:rsidRDefault="00E5341E" w:rsidP="00E53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American Bar Association. (2024). </w:t>
      </w:r>
      <w:r w:rsidRPr="00E5341E">
        <w:rPr>
          <w:rFonts w:ascii="Times New Roman" w:eastAsia="Times New Roman" w:hAnsi="Times New Roman" w:cs="Times New Roman"/>
          <w:i/>
          <w:iCs/>
          <w:sz w:val="24"/>
          <w:szCs w:val="24"/>
        </w:rPr>
        <w:t>Best Practices in Legal Technology Adoption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341E" w:rsidRPr="00E5341E" w:rsidRDefault="00E5341E" w:rsidP="00E53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>Court Procedures &amp; Formatting Rules – Federal and State Jurisdictions (2025).</w:t>
      </w:r>
    </w:p>
    <w:p w:rsidR="00E5341E" w:rsidRPr="00E5341E" w:rsidRDefault="00E5341E" w:rsidP="00E53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41E">
        <w:rPr>
          <w:rFonts w:ascii="Times New Roman" w:eastAsia="Times New Roman" w:hAnsi="Times New Roman" w:cs="Times New Roman"/>
          <w:sz w:val="24"/>
          <w:szCs w:val="24"/>
        </w:rPr>
        <w:t xml:space="preserve">International Legal Technology Association (ILTA). </w:t>
      </w:r>
      <w:r w:rsidRPr="00E5341E">
        <w:rPr>
          <w:rFonts w:ascii="Times New Roman" w:eastAsia="Times New Roman" w:hAnsi="Times New Roman" w:cs="Times New Roman"/>
          <w:i/>
          <w:iCs/>
          <w:sz w:val="24"/>
          <w:szCs w:val="24"/>
        </w:rPr>
        <w:t>Legal Automation Trends 2024</w:t>
      </w:r>
      <w:r w:rsidRPr="00E53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2AB4" w:rsidRDefault="00CE2AB4"/>
    <w:sectPr w:rsidR="00CE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A42DE"/>
    <w:multiLevelType w:val="multilevel"/>
    <w:tmpl w:val="16A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45B96"/>
    <w:multiLevelType w:val="multilevel"/>
    <w:tmpl w:val="A97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A46F5"/>
    <w:multiLevelType w:val="multilevel"/>
    <w:tmpl w:val="ED7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112D6"/>
    <w:multiLevelType w:val="multilevel"/>
    <w:tmpl w:val="B4D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171E4"/>
    <w:multiLevelType w:val="multilevel"/>
    <w:tmpl w:val="17D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531E1"/>
    <w:multiLevelType w:val="multilevel"/>
    <w:tmpl w:val="8D12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2566F9"/>
    <w:multiLevelType w:val="multilevel"/>
    <w:tmpl w:val="61E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A73B53"/>
    <w:multiLevelType w:val="multilevel"/>
    <w:tmpl w:val="614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B11B75"/>
    <w:multiLevelType w:val="multilevel"/>
    <w:tmpl w:val="35BA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F12C7A"/>
    <w:multiLevelType w:val="multilevel"/>
    <w:tmpl w:val="1A2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8E5AC6"/>
    <w:multiLevelType w:val="multilevel"/>
    <w:tmpl w:val="5FC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E6045B"/>
    <w:multiLevelType w:val="multilevel"/>
    <w:tmpl w:val="754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9C0E02"/>
    <w:multiLevelType w:val="multilevel"/>
    <w:tmpl w:val="343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2"/>
  </w:num>
  <w:num w:numId="10">
    <w:abstractNumId w:val="11"/>
  </w:num>
  <w:num w:numId="11">
    <w:abstractNumId w:val="10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41E"/>
    <w:rsid w:val="00CE2AB4"/>
    <w:rsid w:val="00E5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702C4-68BB-46F9-A7B5-5CDF6B60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3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3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34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34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34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3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341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534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Emeks</dc:creator>
  <cp:keywords/>
  <dc:description/>
  <cp:lastModifiedBy>Emeks</cp:lastModifiedBy>
  <cp:revision>1</cp:revision>
  <dcterms:created xsi:type="dcterms:W3CDTF">2025-08-04T12:57:00Z</dcterms:created>
  <dcterms:modified xsi:type="dcterms:W3CDTF">2025-08-04T12:59:00Z</dcterms:modified>
</cp:coreProperties>
</file>