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Logistics Strategy</w:t>
      </w:r>
    </w:p>
    <w:p>
      <w:pPr>
        <w:pStyle w:val="Heading1"/>
      </w:pPr>
      <w:r>
        <w:t>Introduction</w:t>
      </w:r>
    </w:p>
    <w:p>
      <w:r>
        <w:t>Smart Logistics: From Data to Strategy is a dynamic initiative that explores how data-driven insights can transform logistics operations. This webpage aims to communicate innovative logistics strategies, highlight the business impact, and encourage direct engagement through interactive content.</w:t>
      </w:r>
    </w:p>
    <w:p>
      <w:pPr>
        <w:pStyle w:val="Heading1"/>
      </w:pPr>
      <w:r>
        <w:t>Hero Section</w:t>
      </w:r>
    </w:p>
    <w:p>
      <w:r>
        <w:t>The hero section features a blurred background image with a bold headline and subtitle. It captures user attention and sets the tone for the rest of the page. The call-to-action 'Explore Strategy' leads users to a more detailed breakdown of strategic approaches.</w:t>
      </w:r>
    </w:p>
    <w:p>
      <w:pPr>
        <w:pStyle w:val="Heading1"/>
      </w:pPr>
      <w:r>
        <w:t>Strategy Introduction</w:t>
      </w:r>
    </w:p>
    <w:p>
      <w:r>
        <w:t>This section introduces the logistics strategy in more depth, presenting key ideas about how smart technologies and data analysis can optimize logistics decisions. It uses a clean layout inspired by Nearshore Logistics with thoughtful spacing and typographic hierarchy.</w:t>
      </w:r>
    </w:p>
    <w:p>
      <w:pPr>
        <w:pStyle w:val="Heading1"/>
      </w:pPr>
      <w:r>
        <w:t>Business Impact Scenario</w:t>
      </w:r>
    </w:p>
    <w:p>
      <w:r>
        <w:t>Through scenario-based explanations, this section communicates how businesses benefit from logistics intelligence. It outlines the effects on cost efficiency, delivery speed, inventory visibility, and overall operational control.</w:t>
      </w:r>
    </w:p>
    <w:p>
      <w:pPr>
        <w:pStyle w:val="Heading1"/>
      </w:pPr>
      <w:r>
        <w:t>Mini Talk to a Consultant Section</w:t>
      </w:r>
    </w:p>
    <w:p>
      <w:r>
        <w:t>A simple form section allows users to quickly send a message to the consultant. This feature is intended for immediate communication and not just a general contact page. It includes fields like name, email, and a short message area with a submit button that sends data directly.</w:t>
      </w:r>
    </w:p>
    <w:p>
      <w:pPr>
        <w:pStyle w:val="Heading1"/>
      </w:pPr>
      <w:r>
        <w:t>Final CTA Section</w:t>
      </w:r>
    </w:p>
    <w:p>
      <w:r>
        <w:t>Encourages visitors to act — whether by downloading a full report, connecting for consultation, or exploring other solutions. The layout is styled professionally with a button-like link prompting user engagement.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