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9BFA4" w14:textId="77777777" w:rsidR="00A82BEE" w:rsidRDefault="0047710E">
      <w:pPr>
        <w:pStyle w:val="Heading1"/>
      </w:pPr>
      <w:r>
        <w:t>1 Introduction</w:t>
      </w:r>
    </w:p>
    <w:p w14:paraId="7F99C0AE" w14:textId="77777777" w:rsidR="00A82BEE" w:rsidRDefault="0047710E">
      <w:r>
        <w:t>Iceberg calving is a major pathway by which the Greenland Ice Sheet loses mass to the ocean. Accurate inventories of iceberg area are needed to estimate freshwater input to fjord systems, to constrain calving and submarine-melt budgets, and to improve models of iceberg drift, deterioration, and marine hazard. Sentinel-2 optical imagery is attractive for this task because its 10 m bands resolve many fjord-scale icebergs and are available at repeat intervals that can support seasonal monitoring. The near-infr</w:t>
      </w:r>
      <w:r>
        <w:t>ared band B08 is especially useful because exposed glacier ice is usually brighter than open water.</w:t>
      </w:r>
    </w:p>
    <w:p w14:paraId="4881C5B3" w14:textId="77777777" w:rsidR="00A82BEE" w:rsidRDefault="0047710E">
      <w:r>
        <w:t>The simplest operational approach is to apply a fixed near-infrared threshold to B08 and label every bright pixel as iceberg. Fisser and others (2024) calibrated a corrected-reflectance threshold of 0.12 and showed that it performs best under relatively favorable acquisition conditions. In the current processing pipeline, the Sentinel-2 digital-number offset is not subtracted before reflectance scaling, so that same threshold is represented as B08 &gt;= 0.22. This fixed-rule baseline is important because it is</w:t>
      </w:r>
      <w:r>
        <w:t xml:space="preserve"> transparent, inexpensive, and directly comparable with previous work. It is also limited: it cannot use object shape, neighborhood context, or the visual continuity of a partly shadowed iceberg.</w:t>
      </w:r>
    </w:p>
    <w:p w14:paraId="358A52D9" w14:textId="77777777" w:rsidR="00A82BEE" w:rsidRDefault="0047710E">
      <w:r>
        <w:t>Those limitations matter most in the scenes this study targets. Previous threshold workflows were developed around cleaner, easier cases in which icebergs are well separated from open water and illumination is comparatively benign. Automated monitoring must also handle high solar zenith angle imagery, mixed brash-ice backgrounds, null chips with no iceberg targets, internal shadows, fissure-like cracks, and ambiguous boundaries where one annotation decision can change both object count and area. In these ha</w:t>
      </w:r>
      <w:r>
        <w:t>rder scenes, fixed reflectance thresholds can miss dim iceberg faces, split a single object into fragments, or convert bright non-iceberg background into false detections.</w:t>
      </w:r>
    </w:p>
    <w:p w14:paraId="16991B1D" w14:textId="77777777" w:rsidR="00A82BEE" w:rsidRDefault="0047710E">
      <w:pPr>
        <w:ind w:left="360"/>
      </w:pPr>
      <w:r>
        <w:rPr>
          <w:b/>
          <w:i/>
        </w:rPr>
        <w:t xml:space="preserve">Fig. 1. </w:t>
      </w:r>
      <w:r>
        <w:rPr>
          <w:i/>
        </w:rPr>
        <w:t>Planned annotation-difficulty visual. Show three representative chips: a cleaner open-water iceberg scene, a high-SZA scene with shadowed or fissured iceberg surfaces, and an ambiguous mixed-background scene. For each, show the image, preliminary annotation, cleaned binary annotation, and one short note on what changed.</w:t>
      </w:r>
    </w:p>
    <w:p w14:paraId="0AB1D791" w14:textId="77777777" w:rsidR="00A82BEE" w:rsidRDefault="0047710E">
      <w:r>
        <w:t>Deep learning segmentation offers a complementary route because a convolutional model can learn spatial context from the red, green, and near-infrared bands rather than relying on a single B08 cutoff. This study evaluates a UNet++ model with a ResNet-34 encoder as the learned segmentation baseline. The model is not changed for this paper: the comparison is deliberately basics-first. The contribution is the controlled evaluation of current data cleaning, dataset expansion, six base segmentation pipelines, an</w:t>
      </w:r>
      <w:r>
        <w:t>d white top-hat morphological recovery under one reproducible pipeline.</w:t>
      </w:r>
    </w:p>
    <w:p w14:paraId="63A799B5" w14:textId="77777777" w:rsidR="00A82BEE" w:rsidRDefault="0047710E">
      <w:r>
        <w:t>The working dataset combines low-SZA Fisser-derived chips with higher-SZA Roboflow-annotated Sentinel-2 chips. After cleaning, the current v4_clean dataset contains 916 chips: 330 Fisser-derived chips and 586 Roboflow-derived chips. Fisser shadow labels are merged into the iceberg class so all masks are binary. Individual components below a 40 m root-length cutoff are removed to match the minimum resolvable iceberg scale used in the current data protocol. The final split targets 65 / 15 / 25 train, validati</w:t>
      </w:r>
      <w:r>
        <w:t>on, and test partitions and materializes as 551 / 137 / 228 chips, with the test set capped across solar-zenith bins for balanced reporting.</w:t>
      </w:r>
    </w:p>
    <w:p w14:paraId="2FC0B243" w14:textId="77777777" w:rsidR="00A82BEE" w:rsidRDefault="0047710E">
      <w:r>
        <w:t>The paper compares six base pipelines: fixed B08 threshold, Otsu thresholding, UNet++, UNet++ + fixed probability threshold, UNet++ + Otsu, and UNet++ + CRF. White top-hat morphological filtering is then applied as a recovery extension after inference, producing +TH variants that test whether small bright icebergs missed by the base outputs can be recovered. This ordering preserves the logic of the meeting plan: first test fixed image thresholding, then chip-adaptive Otsu thresholding, then learned segmenta</w:t>
      </w:r>
      <w:r>
        <w:t xml:space="preserve">tion, then simple post-processing of the learned probability map, then top-hat recovery. Mean absolute error (MAE) is </w:t>
      </w:r>
      <w:r>
        <w:lastRenderedPageBreak/>
        <w:t>the primary evaluation metric because it connects most directly to the area-error framing used by Fisser and others. Intersection over union (IoU) is reported second for segmentation readers, and mean squared error (MSE) is retained as a supplementary area-error statistic.</w:t>
      </w:r>
    </w:p>
    <w:p w14:paraId="0E837156" w14:textId="77777777" w:rsidR="00A82BEE" w:rsidRDefault="0047710E">
      <w:r>
        <w:t>Three questions guide the analysis:</w:t>
      </w:r>
    </w:p>
    <w:p w14:paraId="639F9E2C" w14:textId="77777777" w:rsidR="00A82BEE" w:rsidRDefault="0047710E">
      <w:pPr>
        <w:pStyle w:val="ListNumber"/>
      </w:pPr>
      <w:r>
        <w:t>Does chip-adaptive Otsu thresholding improve over a fixed B08 threshold as the data shift from cleaner low-SZA scenes to harder high-SZA and mixed-background scenes?</w:t>
      </w:r>
    </w:p>
    <w:p w14:paraId="7D83E515" w14:textId="77777777" w:rsidR="00A82BEE" w:rsidRDefault="0047710E">
      <w:pPr>
        <w:pStyle w:val="ListNumber"/>
      </w:pPr>
      <w:r>
        <w:t>Does UNet++ trained on the cleaned binary dataset reduce per-iceberg area and root-length MAE relative to threshold-only baselines?</w:t>
      </w:r>
    </w:p>
    <w:p w14:paraId="47F8546F" w14:textId="77777777" w:rsidR="00A82BEE" w:rsidRDefault="0047710E">
      <w:pPr>
        <w:pStyle w:val="ListNumber"/>
      </w:pPr>
      <w:r>
        <w:t>Which post-processing and recovery rules, fixed probability thresholding, Otsu thresholding, CRF, or white top-hat filtering, give the most reliable segmentation and small-iceberg recovery without changing the model architecture?</w:t>
      </w:r>
    </w:p>
    <w:p w14:paraId="1CCBFF44" w14:textId="77777777" w:rsidR="00A82BEE" w:rsidRDefault="0047710E">
      <w:r>
        <w:t>The remainder of this draft describes the study regions, imagery, dataset construction, six base segmentation pipelines, top-hat recovery, evaluation metrics, and experiment progression. CatBoost and other covariate-informed classifiers are intentionally outside the current comparison; the priority here is to verify the image-to-segmentation methodology before adding new inputs or architectures.</w:t>
      </w:r>
    </w:p>
    <w:p w14:paraId="590C9E7B" w14:textId="77777777" w:rsidR="00A82BEE" w:rsidRDefault="0047710E">
      <w:pPr>
        <w:pStyle w:val="Heading1"/>
      </w:pPr>
      <w:r>
        <w:t>2 Methods</w:t>
      </w:r>
    </w:p>
    <w:p w14:paraId="5428B929" w14:textId="77777777" w:rsidR="00A82BEE" w:rsidRDefault="0047710E">
      <w:pPr>
        <w:pStyle w:val="Heading2"/>
      </w:pPr>
      <w:r>
        <w:t>2.1 Study regions and imagery</w:t>
      </w:r>
    </w:p>
    <w:p w14:paraId="395449FD" w14:textId="77777777" w:rsidR="00A82BEE" w:rsidRDefault="0047710E">
      <w:r>
        <w:t>The study uses Sentinel-2 Level-1C imagery from two east Greenland fjord systems: Kangerlussuaq and Sermilik. Both fjords receive ice discharge from marine-terminating outlet glaciers and contain iceberg populations that vary in size, density, illumination, and background complexity. Imagery is represented as 256 x 256 pixel chips, corresponding to 2.56 x 2.56 km at the Sentinel-2 10 m grid.</w:t>
      </w:r>
    </w:p>
    <w:p w14:paraId="71A73E8E" w14:textId="77777777" w:rsidR="00A82BEE" w:rsidRDefault="0047710E">
      <w:r>
        <w:t>Each chip contains three top-of-atmosphere reflectance bands: B04 red, B03 green, and B08 near-infrared. The UNet++ model receives all three bands. The threshold baselines use B08 because that is the band used in the Fisser threshold workflow and because near-infrared reflectance provides the strongest simple contrast between iceberg ice and dark water.</w:t>
      </w:r>
    </w:p>
    <w:p w14:paraId="3817D103" w14:textId="77777777" w:rsidR="00A82BEE" w:rsidRDefault="0047710E">
      <w:r>
        <w:t>Scenes are grouped by solar zenith angle (SZA) into four bins: SZA &lt; 65 degrees, SZA 65 to 70 degrees, SZA 70 to 75 degrees, and SZA &gt; 75 degrees. These bins follow the previous finding that threshold-based area retrieval begins to degrade near SZA 65 degrees. The binning also keeps the visual story simple: low-SZA scenes provide the Fisser-like anchor, while the higher bins test increasingly difficult autumn illumination conditions.</w:t>
      </w:r>
    </w:p>
    <w:p w14:paraId="04BA2A7F" w14:textId="77777777" w:rsidR="00A82BEE" w:rsidRDefault="0047710E">
      <w:pPr>
        <w:pStyle w:val="Heading2"/>
      </w:pPr>
      <w:r>
        <w:t>2.2 Radiometric convention</w:t>
      </w:r>
    </w:p>
    <w:p w14:paraId="74FD0BC5" w14:textId="77777777" w:rsidR="00A82BEE" w:rsidRDefault="0047710E">
      <w:r>
        <w:t>All threshold values in this draft are reported in the uncorrected reflectance convention used by the current pipeline. Sentinel-2 processing baselines N0500 and later distribute band digital numbers with a +1000 offset. The local chip pipeline scales digital numbers by 10^-4 but does not subtract that offset. As a result, reflectance values are shifted upward by 0.10 relative to the corrected convention used by Fisser and others. Fisser and others (2024) used B08 &gt;= 0.12; in this pipeline the equivalent fi</w:t>
      </w:r>
      <w:r>
        <w:t>xed threshold is B08 &gt;= 0.22. Because all chips are processed under the same convention, this offset does not affect within-study method comparisons.</w:t>
      </w:r>
    </w:p>
    <w:p w14:paraId="2AB98944" w14:textId="77777777" w:rsidR="00A82BEE" w:rsidRDefault="0047710E">
      <w:pPr>
        <w:pStyle w:val="Heading2"/>
      </w:pPr>
      <w:r>
        <w:t>2.3 Dataset construction and annotation harmonization</w:t>
      </w:r>
    </w:p>
    <w:p w14:paraId="2AD3C38E" w14:textId="77777777" w:rsidR="00A82BEE" w:rsidRDefault="0047710E">
      <w:r>
        <w:t xml:space="preserve">The current working dataset is v4_clean. It contains 916 chips after filtering: 330 Fisser-derived chips from the low-SZA source set and 586 Roboflow-derived chips from higher-SZA scenes. The Fisser-derived chips originally distinguish ocean, iceberg, and shadow. For this study, shadow is merged into iceberg before </w:t>
      </w:r>
      <w:r>
        <w:lastRenderedPageBreak/>
        <w:t>filtering, training, and evaluation. This produces the same binary label space as the Roboflow annotations: iceberg versus not-iceberg.</w:t>
      </w:r>
    </w:p>
    <w:p w14:paraId="1901EDDD" w14:textId="77777777" w:rsidR="00A82BEE" w:rsidRDefault="0047710E">
      <w:r>
        <w:t>This binary convention is necessary for a fair combined-data experiment. It also reflects the area-retrieval task: shadowed faces attached to the iceberg are part of the above-water object even when their B08 reflectance is low. Merging the shadow class prevents the model from being asked to separate physical iceberg surface from adjacent iceberg shadow when the paper-level objective is iceberg segmentation.</w:t>
      </w:r>
    </w:p>
    <w:p w14:paraId="7A0EF180" w14:textId="77777777" w:rsidR="00A82BEE" w:rsidRDefault="0047710E">
      <w:pPr>
        <w:ind w:left="360"/>
      </w:pPr>
      <w:r>
        <w:rPr>
          <w:b/>
          <w:i/>
        </w:rPr>
        <w:t xml:space="preserve">Fig. 2. </w:t>
      </w:r>
      <w:r>
        <w:rPr>
          <w:i/>
        </w:rPr>
        <w:t>Planned dataset workflow visual. Show the path from Sentinel-2 chip to source annotation, shadow merge, 40 m component filter, annotation-aware IC masking for training chips only, and final binary train / validation / test split.</w:t>
      </w:r>
    </w:p>
    <w:p w14:paraId="2A53C0E0" w14:textId="77777777" w:rsidR="00A82BEE" w:rsidRDefault="0047710E">
      <w:pPr>
        <w:pStyle w:val="Heading2"/>
      </w:pPr>
      <w:r>
        <w:t>2.4 Filtering, masking, and split</w:t>
      </w:r>
    </w:p>
    <w:p w14:paraId="6A1B1123" w14:textId="77777777" w:rsidR="00A82BEE" w:rsidRDefault="0047710E">
      <w:r>
        <w:t>Individual connected components smaller than 16 pixels are removed from the masks. At 10 m resolution this corresponds to 1,600 m2, or a square-root area of 40 m. The filter removes rasterization fragments and sub-resolution speckle while retaining the smallest icebergs that can be consistently delineated in Sentinel-2 imagery. This cutoff is applied before the dataset split and is therefore part of the dataset definition rather than a post-hoc evaluation filter.</w:t>
      </w:r>
    </w:p>
    <w:p w14:paraId="2B6D5BA9" w14:textId="77777777" w:rsidR="00A82BEE" w:rsidRDefault="0047710E">
      <w:r>
        <w:t>The pipeline also adapts the Fisser ice-coverage screen to chip-scale training data. Ice coverage is computed as the fraction of non-annotated pixels with B08 &gt;= 0.22. If a training chip exceeds 15 percent by this annotation-aware calculation, bright non-annotated pixels are masked to zero across all three bands. Annotated iceberg pixels are preserved. Validation and test chips are never masked, so final metrics are measured on realistic, unmodified imagery.</w:t>
      </w:r>
    </w:p>
    <w:p w14:paraId="1D62241C" w14:textId="77777777" w:rsidR="00A82BEE" w:rsidRDefault="0047710E">
      <w:r>
        <w:t>The split target is 65 / 15 / 25 for training, validation, and testing. The materialized v4_clean split is 551 training chips, 137 validation chips, and 228 test chips. The test set contains 57 chips per SZA bin, which keeps cross-bin comparisons from being dominated by the larger source bins. The 551 / 137 / 228 split is the one used for the baseline_v1 training and six-method reporting.</w:t>
      </w:r>
    </w:p>
    <w:tbl>
      <w:tblPr>
        <w:tblStyle w:val="TableGrid"/>
        <w:tblW w:w="0" w:type="auto"/>
        <w:jc w:val="center"/>
        <w:tblLook w:val="04A0" w:firstRow="1" w:lastRow="0" w:firstColumn="1" w:lastColumn="0" w:noHBand="0" w:noVBand="1"/>
      </w:tblPr>
      <w:tblGrid>
        <w:gridCol w:w="3186"/>
        <w:gridCol w:w="4050"/>
      </w:tblGrid>
      <w:tr w:rsidR="00A82BEE" w14:paraId="779E677A" w14:textId="77777777" w:rsidTr="008101CF">
        <w:trPr>
          <w:jc w:val="center"/>
        </w:trPr>
        <w:tc>
          <w:tcPr>
            <w:tcW w:w="3186" w:type="dxa"/>
            <w:shd w:val="clear" w:color="auto" w:fill="EDEDED"/>
            <w:vAlign w:val="center"/>
          </w:tcPr>
          <w:p w14:paraId="5910051C" w14:textId="77777777" w:rsidR="00A82BEE" w:rsidRDefault="0047710E">
            <w:r>
              <w:rPr>
                <w:b/>
                <w:sz w:val="20"/>
              </w:rPr>
              <w:t>Dataset element</w:t>
            </w:r>
          </w:p>
        </w:tc>
        <w:tc>
          <w:tcPr>
            <w:tcW w:w="4050" w:type="dxa"/>
            <w:shd w:val="clear" w:color="auto" w:fill="EDEDED"/>
            <w:vAlign w:val="center"/>
          </w:tcPr>
          <w:p w14:paraId="56A0F330" w14:textId="77777777" w:rsidR="00A82BEE" w:rsidRDefault="0047710E">
            <w:r>
              <w:rPr>
                <w:b/>
                <w:sz w:val="20"/>
              </w:rPr>
              <w:t>Current value</w:t>
            </w:r>
          </w:p>
        </w:tc>
      </w:tr>
      <w:tr w:rsidR="00A82BEE" w14:paraId="2670D83E" w14:textId="77777777" w:rsidTr="008101CF">
        <w:trPr>
          <w:jc w:val="center"/>
        </w:trPr>
        <w:tc>
          <w:tcPr>
            <w:tcW w:w="3186" w:type="dxa"/>
            <w:vAlign w:val="center"/>
          </w:tcPr>
          <w:p w14:paraId="12F4BADE" w14:textId="77777777" w:rsidR="00A82BEE" w:rsidRDefault="0047710E">
            <w:r>
              <w:rPr>
                <w:sz w:val="20"/>
              </w:rPr>
              <w:t>Working dataset</w:t>
            </w:r>
          </w:p>
        </w:tc>
        <w:tc>
          <w:tcPr>
            <w:tcW w:w="4050" w:type="dxa"/>
            <w:vAlign w:val="center"/>
          </w:tcPr>
          <w:p w14:paraId="51B1A0C0" w14:textId="77777777" w:rsidR="00A82BEE" w:rsidRDefault="0047710E">
            <w:r>
              <w:rPr>
                <w:sz w:val="20"/>
              </w:rPr>
              <w:t>v4_clean</w:t>
            </w:r>
          </w:p>
        </w:tc>
      </w:tr>
      <w:tr w:rsidR="00A82BEE" w14:paraId="66970442" w14:textId="77777777" w:rsidTr="008101CF">
        <w:trPr>
          <w:jc w:val="center"/>
        </w:trPr>
        <w:tc>
          <w:tcPr>
            <w:tcW w:w="3186" w:type="dxa"/>
            <w:vAlign w:val="center"/>
          </w:tcPr>
          <w:p w14:paraId="52248AFA" w14:textId="77777777" w:rsidR="00A82BEE" w:rsidRDefault="0047710E">
            <w:r>
              <w:rPr>
                <w:sz w:val="20"/>
              </w:rPr>
              <w:t>Total chips after filtering</w:t>
            </w:r>
          </w:p>
        </w:tc>
        <w:tc>
          <w:tcPr>
            <w:tcW w:w="4050" w:type="dxa"/>
            <w:vAlign w:val="center"/>
          </w:tcPr>
          <w:p w14:paraId="5EF48B76" w14:textId="77777777" w:rsidR="00A82BEE" w:rsidRDefault="0047710E">
            <w:r>
              <w:rPr>
                <w:sz w:val="20"/>
              </w:rPr>
              <w:t>916</w:t>
            </w:r>
          </w:p>
        </w:tc>
      </w:tr>
      <w:tr w:rsidR="00A82BEE" w14:paraId="139E60D0" w14:textId="77777777" w:rsidTr="008101CF">
        <w:trPr>
          <w:jc w:val="center"/>
        </w:trPr>
        <w:tc>
          <w:tcPr>
            <w:tcW w:w="3186" w:type="dxa"/>
            <w:vAlign w:val="center"/>
          </w:tcPr>
          <w:p w14:paraId="4A8B4260" w14:textId="77777777" w:rsidR="00A82BEE" w:rsidRDefault="0047710E">
            <w:r>
              <w:rPr>
                <w:sz w:val="20"/>
              </w:rPr>
              <w:t>Fisser-derived chips retained</w:t>
            </w:r>
          </w:p>
        </w:tc>
        <w:tc>
          <w:tcPr>
            <w:tcW w:w="4050" w:type="dxa"/>
            <w:vAlign w:val="center"/>
          </w:tcPr>
          <w:p w14:paraId="5B7E3404" w14:textId="77777777" w:rsidR="00A82BEE" w:rsidRDefault="0047710E">
            <w:r>
              <w:rPr>
                <w:sz w:val="20"/>
              </w:rPr>
              <w:t>330</w:t>
            </w:r>
          </w:p>
        </w:tc>
      </w:tr>
      <w:tr w:rsidR="00A82BEE" w14:paraId="062451D2" w14:textId="77777777" w:rsidTr="008101CF">
        <w:trPr>
          <w:jc w:val="center"/>
        </w:trPr>
        <w:tc>
          <w:tcPr>
            <w:tcW w:w="3186" w:type="dxa"/>
            <w:vAlign w:val="center"/>
          </w:tcPr>
          <w:p w14:paraId="3DF4B97E" w14:textId="77777777" w:rsidR="00A82BEE" w:rsidRDefault="0047710E">
            <w:r>
              <w:rPr>
                <w:sz w:val="20"/>
              </w:rPr>
              <w:t>Roboflow-derived chips retained</w:t>
            </w:r>
          </w:p>
        </w:tc>
        <w:tc>
          <w:tcPr>
            <w:tcW w:w="4050" w:type="dxa"/>
            <w:vAlign w:val="center"/>
          </w:tcPr>
          <w:p w14:paraId="707CFDDF" w14:textId="77777777" w:rsidR="00A82BEE" w:rsidRDefault="0047710E">
            <w:r>
              <w:rPr>
                <w:sz w:val="20"/>
              </w:rPr>
              <w:t>586</w:t>
            </w:r>
          </w:p>
        </w:tc>
      </w:tr>
      <w:tr w:rsidR="00A82BEE" w14:paraId="58BF3C13" w14:textId="77777777" w:rsidTr="008101CF">
        <w:trPr>
          <w:jc w:val="center"/>
        </w:trPr>
        <w:tc>
          <w:tcPr>
            <w:tcW w:w="3186" w:type="dxa"/>
            <w:vAlign w:val="center"/>
          </w:tcPr>
          <w:p w14:paraId="3A6397DE" w14:textId="77777777" w:rsidR="00A82BEE" w:rsidRDefault="0047710E">
            <w:r>
              <w:rPr>
                <w:sz w:val="20"/>
              </w:rPr>
              <w:t>Label classes</w:t>
            </w:r>
          </w:p>
        </w:tc>
        <w:tc>
          <w:tcPr>
            <w:tcW w:w="4050" w:type="dxa"/>
            <w:vAlign w:val="center"/>
          </w:tcPr>
          <w:p w14:paraId="19C5EA6E" w14:textId="77777777" w:rsidR="00A82BEE" w:rsidRDefault="0047710E">
            <w:r>
              <w:rPr>
                <w:sz w:val="20"/>
              </w:rPr>
              <w:t>Binary: iceberg / not-iceberg</w:t>
            </w:r>
          </w:p>
        </w:tc>
      </w:tr>
      <w:tr w:rsidR="00A82BEE" w14:paraId="442D2F95" w14:textId="77777777" w:rsidTr="008101CF">
        <w:trPr>
          <w:jc w:val="center"/>
        </w:trPr>
        <w:tc>
          <w:tcPr>
            <w:tcW w:w="3186" w:type="dxa"/>
            <w:vAlign w:val="center"/>
          </w:tcPr>
          <w:p w14:paraId="3B7094FF" w14:textId="77777777" w:rsidR="00A82BEE" w:rsidRDefault="0047710E">
            <w:r>
              <w:rPr>
                <w:sz w:val="20"/>
              </w:rPr>
              <w:t>Root-length cutoff</w:t>
            </w:r>
          </w:p>
        </w:tc>
        <w:tc>
          <w:tcPr>
            <w:tcW w:w="4050" w:type="dxa"/>
            <w:vAlign w:val="center"/>
          </w:tcPr>
          <w:p w14:paraId="6910CA49" w14:textId="77777777" w:rsidR="00A82BEE" w:rsidRDefault="0047710E">
            <w:r>
              <w:rPr>
                <w:sz w:val="20"/>
              </w:rPr>
              <w:t>40 m, implemented as 16 pixels or 1,600 m2</w:t>
            </w:r>
          </w:p>
        </w:tc>
      </w:tr>
      <w:tr w:rsidR="00A82BEE" w14:paraId="635C721D" w14:textId="77777777" w:rsidTr="008101CF">
        <w:trPr>
          <w:jc w:val="center"/>
        </w:trPr>
        <w:tc>
          <w:tcPr>
            <w:tcW w:w="3186" w:type="dxa"/>
            <w:vAlign w:val="center"/>
          </w:tcPr>
          <w:p w14:paraId="14873189" w14:textId="77777777" w:rsidR="00A82BEE" w:rsidRDefault="0047710E">
            <w:r>
              <w:rPr>
                <w:sz w:val="20"/>
              </w:rPr>
              <w:t>Nominal split</w:t>
            </w:r>
          </w:p>
        </w:tc>
        <w:tc>
          <w:tcPr>
            <w:tcW w:w="4050" w:type="dxa"/>
            <w:vAlign w:val="center"/>
          </w:tcPr>
          <w:p w14:paraId="21841669" w14:textId="77777777" w:rsidR="00A82BEE" w:rsidRDefault="0047710E">
            <w:r>
              <w:rPr>
                <w:sz w:val="20"/>
              </w:rPr>
              <w:t>65 / 15 / 25</w:t>
            </w:r>
          </w:p>
        </w:tc>
      </w:tr>
      <w:tr w:rsidR="00A82BEE" w14:paraId="108F63F3" w14:textId="77777777" w:rsidTr="008101CF">
        <w:trPr>
          <w:jc w:val="center"/>
        </w:trPr>
        <w:tc>
          <w:tcPr>
            <w:tcW w:w="3186" w:type="dxa"/>
            <w:vAlign w:val="center"/>
          </w:tcPr>
          <w:p w14:paraId="6C92B6AC" w14:textId="77777777" w:rsidR="00A82BEE" w:rsidRDefault="0047710E">
            <w:r>
              <w:rPr>
                <w:sz w:val="20"/>
              </w:rPr>
              <w:t>Effective split</w:t>
            </w:r>
          </w:p>
        </w:tc>
        <w:tc>
          <w:tcPr>
            <w:tcW w:w="4050" w:type="dxa"/>
            <w:vAlign w:val="center"/>
          </w:tcPr>
          <w:p w14:paraId="5376D327" w14:textId="77777777" w:rsidR="00A82BEE" w:rsidRDefault="0047710E">
            <w:r>
              <w:rPr>
                <w:sz w:val="20"/>
              </w:rPr>
              <w:t>551 train / 137 validation / 228 test</w:t>
            </w:r>
          </w:p>
        </w:tc>
      </w:tr>
      <w:tr w:rsidR="00A82BEE" w14:paraId="7CAF463D" w14:textId="77777777" w:rsidTr="008101CF">
        <w:trPr>
          <w:jc w:val="center"/>
        </w:trPr>
        <w:tc>
          <w:tcPr>
            <w:tcW w:w="3186" w:type="dxa"/>
            <w:vAlign w:val="center"/>
          </w:tcPr>
          <w:p w14:paraId="67FA2084" w14:textId="77777777" w:rsidR="00A82BEE" w:rsidRDefault="0047710E">
            <w:r>
              <w:rPr>
                <w:sz w:val="20"/>
              </w:rPr>
              <w:t>Test balance</w:t>
            </w:r>
          </w:p>
        </w:tc>
        <w:tc>
          <w:tcPr>
            <w:tcW w:w="4050" w:type="dxa"/>
            <w:vAlign w:val="center"/>
          </w:tcPr>
          <w:p w14:paraId="01BE4D7C" w14:textId="77777777" w:rsidR="00A82BEE" w:rsidRDefault="0047710E">
            <w:r>
              <w:rPr>
                <w:sz w:val="20"/>
              </w:rPr>
              <w:t>57 chips per SZA bin</w:t>
            </w:r>
          </w:p>
        </w:tc>
      </w:tr>
    </w:tbl>
    <w:p w14:paraId="6B269B34" w14:textId="77777777" w:rsidR="00A82BEE" w:rsidRDefault="00A82BEE"/>
    <w:p w14:paraId="431D1333" w14:textId="77777777" w:rsidR="00A82BEE" w:rsidRDefault="0047710E">
      <w:pPr>
        <w:pStyle w:val="Heading2"/>
      </w:pPr>
      <w:r>
        <w:t>2.5 Segmentation methods and top-hat recovery</w:t>
      </w:r>
    </w:p>
    <w:p w14:paraId="4D76685D" w14:textId="77777777" w:rsidR="00A82BEE" w:rsidRDefault="0047710E">
      <w:r>
        <w:t>The methods comparison begins with six base pipelines. The first two methods operate directly on the image. The third uses the learned segmentation map. The final three apply simple post-processing to the UNet++ probability surface. White top-hat morphological filtering is then applied as a uniform recovery extension to those base outputs. All base and +TH variants are evaluated on the same v4_clean test chips when reported.</w:t>
      </w:r>
    </w:p>
    <w:tbl>
      <w:tblPr>
        <w:tblStyle w:val="TableGrid"/>
        <w:tblW w:w="0" w:type="auto"/>
        <w:jc w:val="center"/>
        <w:tblLook w:val="04A0" w:firstRow="1" w:lastRow="0" w:firstColumn="1" w:lastColumn="0" w:noHBand="0" w:noVBand="1"/>
      </w:tblPr>
      <w:tblGrid>
        <w:gridCol w:w="2412"/>
        <w:gridCol w:w="2412"/>
        <w:gridCol w:w="2412"/>
        <w:gridCol w:w="2412"/>
      </w:tblGrid>
      <w:tr w:rsidR="00A82BEE" w14:paraId="1A47494A" w14:textId="77777777">
        <w:trPr>
          <w:jc w:val="center"/>
        </w:trPr>
        <w:tc>
          <w:tcPr>
            <w:tcW w:w="2412" w:type="dxa"/>
            <w:shd w:val="clear" w:color="auto" w:fill="EDEDED"/>
            <w:vAlign w:val="center"/>
          </w:tcPr>
          <w:p w14:paraId="528E93A5" w14:textId="77777777" w:rsidR="00A82BEE" w:rsidRDefault="0047710E">
            <w:r>
              <w:rPr>
                <w:b/>
                <w:sz w:val="20"/>
              </w:rPr>
              <w:lastRenderedPageBreak/>
              <w:t>Method</w:t>
            </w:r>
          </w:p>
        </w:tc>
        <w:tc>
          <w:tcPr>
            <w:tcW w:w="2412" w:type="dxa"/>
            <w:shd w:val="clear" w:color="auto" w:fill="EDEDED"/>
            <w:vAlign w:val="center"/>
          </w:tcPr>
          <w:p w14:paraId="42C3154E" w14:textId="77777777" w:rsidR="00A82BEE" w:rsidRDefault="0047710E">
            <w:r>
              <w:rPr>
                <w:b/>
                <w:sz w:val="20"/>
              </w:rPr>
              <w:t>Input</w:t>
            </w:r>
          </w:p>
        </w:tc>
        <w:tc>
          <w:tcPr>
            <w:tcW w:w="2412" w:type="dxa"/>
            <w:shd w:val="clear" w:color="auto" w:fill="EDEDED"/>
            <w:vAlign w:val="center"/>
          </w:tcPr>
          <w:p w14:paraId="51152E8C" w14:textId="77777777" w:rsidR="00A82BEE" w:rsidRDefault="0047710E">
            <w:r>
              <w:rPr>
                <w:b/>
                <w:sz w:val="20"/>
              </w:rPr>
              <w:t>Decision rule</w:t>
            </w:r>
          </w:p>
        </w:tc>
        <w:tc>
          <w:tcPr>
            <w:tcW w:w="2412" w:type="dxa"/>
            <w:shd w:val="clear" w:color="auto" w:fill="EDEDED"/>
            <w:vAlign w:val="center"/>
          </w:tcPr>
          <w:p w14:paraId="34A78933" w14:textId="77777777" w:rsidR="00A82BEE" w:rsidRDefault="0047710E">
            <w:r>
              <w:rPr>
                <w:b/>
                <w:sz w:val="20"/>
              </w:rPr>
              <w:t>Purpose</w:t>
            </w:r>
          </w:p>
        </w:tc>
      </w:tr>
      <w:tr w:rsidR="00A82BEE" w14:paraId="064100A4" w14:textId="77777777">
        <w:trPr>
          <w:jc w:val="center"/>
        </w:trPr>
        <w:tc>
          <w:tcPr>
            <w:tcW w:w="2412" w:type="dxa"/>
            <w:vAlign w:val="center"/>
          </w:tcPr>
          <w:p w14:paraId="3BD3549B" w14:textId="77777777" w:rsidR="00A82BEE" w:rsidRDefault="0047710E">
            <w:r>
              <w:rPr>
                <w:sz w:val="20"/>
              </w:rPr>
              <w:t>Fixed threshold</w:t>
            </w:r>
          </w:p>
        </w:tc>
        <w:tc>
          <w:tcPr>
            <w:tcW w:w="2412" w:type="dxa"/>
            <w:vAlign w:val="center"/>
          </w:tcPr>
          <w:p w14:paraId="3561850B" w14:textId="77777777" w:rsidR="00A82BEE" w:rsidRDefault="0047710E">
            <w:r>
              <w:rPr>
                <w:sz w:val="20"/>
              </w:rPr>
              <w:t>B08 image</w:t>
            </w:r>
          </w:p>
        </w:tc>
        <w:tc>
          <w:tcPr>
            <w:tcW w:w="2412" w:type="dxa"/>
            <w:vAlign w:val="center"/>
          </w:tcPr>
          <w:p w14:paraId="7939BC74" w14:textId="77777777" w:rsidR="00A82BEE" w:rsidRDefault="0047710E">
            <w:r>
              <w:rPr>
                <w:sz w:val="20"/>
              </w:rPr>
              <w:t>B08 &gt;= 0.22</w:t>
            </w:r>
          </w:p>
        </w:tc>
        <w:tc>
          <w:tcPr>
            <w:tcW w:w="2412" w:type="dxa"/>
            <w:vAlign w:val="center"/>
          </w:tcPr>
          <w:p w14:paraId="36FF9697" w14:textId="77777777" w:rsidR="00A82BEE" w:rsidRDefault="0047710E">
            <w:r>
              <w:rPr>
                <w:sz w:val="20"/>
              </w:rPr>
              <w:t>Fisser-comparable fixed NIR baseline</w:t>
            </w:r>
          </w:p>
        </w:tc>
      </w:tr>
      <w:tr w:rsidR="00A82BEE" w14:paraId="13789DE1" w14:textId="77777777">
        <w:trPr>
          <w:jc w:val="center"/>
        </w:trPr>
        <w:tc>
          <w:tcPr>
            <w:tcW w:w="2412" w:type="dxa"/>
            <w:vAlign w:val="center"/>
          </w:tcPr>
          <w:p w14:paraId="06C248A2" w14:textId="77777777" w:rsidR="00A82BEE" w:rsidRDefault="0047710E">
            <w:r>
              <w:rPr>
                <w:sz w:val="20"/>
              </w:rPr>
              <w:t>Otsu</w:t>
            </w:r>
          </w:p>
        </w:tc>
        <w:tc>
          <w:tcPr>
            <w:tcW w:w="2412" w:type="dxa"/>
            <w:vAlign w:val="center"/>
          </w:tcPr>
          <w:p w14:paraId="6669130A" w14:textId="77777777" w:rsidR="00A82BEE" w:rsidRDefault="0047710E">
            <w:r>
              <w:rPr>
                <w:sz w:val="20"/>
              </w:rPr>
              <w:t>B08 image</w:t>
            </w:r>
          </w:p>
        </w:tc>
        <w:tc>
          <w:tcPr>
            <w:tcW w:w="2412" w:type="dxa"/>
            <w:vAlign w:val="center"/>
          </w:tcPr>
          <w:p w14:paraId="680C5C91" w14:textId="77777777" w:rsidR="00A82BEE" w:rsidRDefault="0047710E">
            <w:r>
              <w:rPr>
                <w:sz w:val="20"/>
              </w:rPr>
              <w:t>Per-chip Otsu threshold on B08</w:t>
            </w:r>
          </w:p>
        </w:tc>
        <w:tc>
          <w:tcPr>
            <w:tcW w:w="2412" w:type="dxa"/>
            <w:vAlign w:val="center"/>
          </w:tcPr>
          <w:p w14:paraId="3D482322" w14:textId="77777777" w:rsidR="00A82BEE" w:rsidRDefault="0047710E">
            <w:r>
              <w:rPr>
                <w:sz w:val="20"/>
              </w:rPr>
              <w:t>Adaptive image-only threshold baseline</w:t>
            </w:r>
          </w:p>
        </w:tc>
      </w:tr>
      <w:tr w:rsidR="00A82BEE" w14:paraId="3C4D1C7F" w14:textId="77777777">
        <w:trPr>
          <w:jc w:val="center"/>
        </w:trPr>
        <w:tc>
          <w:tcPr>
            <w:tcW w:w="2412" w:type="dxa"/>
            <w:vAlign w:val="center"/>
          </w:tcPr>
          <w:p w14:paraId="154D8201" w14:textId="77777777" w:rsidR="00A82BEE" w:rsidRDefault="0047710E">
            <w:r>
              <w:rPr>
                <w:sz w:val="20"/>
              </w:rPr>
              <w:t>UNet++</w:t>
            </w:r>
          </w:p>
        </w:tc>
        <w:tc>
          <w:tcPr>
            <w:tcW w:w="2412" w:type="dxa"/>
            <w:vAlign w:val="center"/>
          </w:tcPr>
          <w:p w14:paraId="59811BDB" w14:textId="77777777" w:rsidR="00A82BEE" w:rsidRDefault="0047710E">
            <w:r>
              <w:rPr>
                <w:sz w:val="20"/>
              </w:rPr>
              <w:t>B04 / B03 / B08 image</w:t>
            </w:r>
          </w:p>
        </w:tc>
        <w:tc>
          <w:tcPr>
            <w:tcW w:w="2412" w:type="dxa"/>
            <w:vAlign w:val="center"/>
          </w:tcPr>
          <w:p w14:paraId="491682F0" w14:textId="77777777" w:rsidR="00A82BEE" w:rsidRDefault="0047710E">
            <w:r>
              <w:rPr>
                <w:sz w:val="20"/>
              </w:rPr>
              <w:t>Direct UNet++ binary mask, P(iceberg) &gt; 0.5</w:t>
            </w:r>
          </w:p>
        </w:tc>
        <w:tc>
          <w:tcPr>
            <w:tcW w:w="2412" w:type="dxa"/>
            <w:vAlign w:val="center"/>
          </w:tcPr>
          <w:p w14:paraId="7FAA1DFB" w14:textId="77777777" w:rsidR="00A82BEE" w:rsidRDefault="0047710E">
            <w:r>
              <w:rPr>
                <w:sz w:val="20"/>
              </w:rPr>
              <w:t>Learned segmentation baseline</w:t>
            </w:r>
          </w:p>
        </w:tc>
      </w:tr>
      <w:tr w:rsidR="00A82BEE" w14:paraId="45298A60" w14:textId="77777777">
        <w:trPr>
          <w:jc w:val="center"/>
        </w:trPr>
        <w:tc>
          <w:tcPr>
            <w:tcW w:w="2412" w:type="dxa"/>
            <w:vAlign w:val="center"/>
          </w:tcPr>
          <w:p w14:paraId="754B06C8" w14:textId="77777777" w:rsidR="00A82BEE" w:rsidRDefault="0047710E">
            <w:r>
              <w:rPr>
                <w:sz w:val="20"/>
              </w:rPr>
              <w:t>UNet++ + threshold</w:t>
            </w:r>
          </w:p>
        </w:tc>
        <w:tc>
          <w:tcPr>
            <w:tcW w:w="2412" w:type="dxa"/>
            <w:vAlign w:val="center"/>
          </w:tcPr>
          <w:p w14:paraId="5A500DE8" w14:textId="77777777" w:rsidR="00A82BEE" w:rsidRDefault="0047710E">
            <w:r>
              <w:rPr>
                <w:sz w:val="20"/>
              </w:rPr>
              <w:t>UNet++ probability map</w:t>
            </w:r>
          </w:p>
        </w:tc>
        <w:tc>
          <w:tcPr>
            <w:tcW w:w="2412" w:type="dxa"/>
            <w:vAlign w:val="center"/>
          </w:tcPr>
          <w:p w14:paraId="4C3262A9" w14:textId="77777777" w:rsidR="00A82BEE" w:rsidRDefault="0047710E">
            <w:r>
              <w:rPr>
                <w:sz w:val="20"/>
              </w:rPr>
              <w:t>P(iceberg) &gt;= 0.22</w:t>
            </w:r>
          </w:p>
        </w:tc>
        <w:tc>
          <w:tcPr>
            <w:tcW w:w="2412" w:type="dxa"/>
            <w:vAlign w:val="center"/>
          </w:tcPr>
          <w:p w14:paraId="43FFBE04" w14:textId="77777777" w:rsidR="00A82BEE" w:rsidRDefault="0047710E">
            <w:r>
              <w:rPr>
                <w:sz w:val="20"/>
              </w:rPr>
              <w:t>Fixed probability cutoff matched to the recorded baseline configuration</w:t>
            </w:r>
          </w:p>
        </w:tc>
      </w:tr>
      <w:tr w:rsidR="00A82BEE" w14:paraId="50E1EA1B" w14:textId="77777777">
        <w:trPr>
          <w:jc w:val="center"/>
        </w:trPr>
        <w:tc>
          <w:tcPr>
            <w:tcW w:w="2412" w:type="dxa"/>
            <w:vAlign w:val="center"/>
          </w:tcPr>
          <w:p w14:paraId="65AE666E" w14:textId="77777777" w:rsidR="00A82BEE" w:rsidRDefault="0047710E">
            <w:r>
              <w:rPr>
                <w:sz w:val="20"/>
              </w:rPr>
              <w:t>UNet++ + Otsu</w:t>
            </w:r>
          </w:p>
        </w:tc>
        <w:tc>
          <w:tcPr>
            <w:tcW w:w="2412" w:type="dxa"/>
            <w:vAlign w:val="center"/>
          </w:tcPr>
          <w:p w14:paraId="6E9C76D4" w14:textId="77777777" w:rsidR="00A82BEE" w:rsidRDefault="0047710E">
            <w:r>
              <w:rPr>
                <w:sz w:val="20"/>
              </w:rPr>
              <w:t>UNet++ probability map</w:t>
            </w:r>
          </w:p>
        </w:tc>
        <w:tc>
          <w:tcPr>
            <w:tcW w:w="2412" w:type="dxa"/>
            <w:vAlign w:val="center"/>
          </w:tcPr>
          <w:p w14:paraId="0387A04D" w14:textId="77777777" w:rsidR="00A82BEE" w:rsidRDefault="0047710E">
            <w:r>
              <w:rPr>
                <w:sz w:val="20"/>
              </w:rPr>
              <w:t>Per-chip Otsu threshold on P(iceberg)</w:t>
            </w:r>
          </w:p>
        </w:tc>
        <w:tc>
          <w:tcPr>
            <w:tcW w:w="2412" w:type="dxa"/>
            <w:vAlign w:val="center"/>
          </w:tcPr>
          <w:p w14:paraId="051D5210" w14:textId="77777777" w:rsidR="00A82BEE" w:rsidRDefault="0047710E">
            <w:r>
              <w:rPr>
                <w:sz w:val="20"/>
              </w:rPr>
              <w:t>Adaptive threshold after learning</w:t>
            </w:r>
          </w:p>
        </w:tc>
      </w:tr>
      <w:tr w:rsidR="00A82BEE" w14:paraId="240B8100" w14:textId="77777777">
        <w:trPr>
          <w:jc w:val="center"/>
        </w:trPr>
        <w:tc>
          <w:tcPr>
            <w:tcW w:w="2412" w:type="dxa"/>
            <w:vAlign w:val="center"/>
          </w:tcPr>
          <w:p w14:paraId="05DEF3CA" w14:textId="77777777" w:rsidR="00A82BEE" w:rsidRDefault="0047710E">
            <w:r>
              <w:rPr>
                <w:sz w:val="20"/>
              </w:rPr>
              <w:t>UNet++ + CRF</w:t>
            </w:r>
          </w:p>
        </w:tc>
        <w:tc>
          <w:tcPr>
            <w:tcW w:w="2412" w:type="dxa"/>
            <w:vAlign w:val="center"/>
          </w:tcPr>
          <w:p w14:paraId="553B4806" w14:textId="77777777" w:rsidR="00A82BEE" w:rsidRDefault="0047710E">
            <w:r>
              <w:rPr>
                <w:sz w:val="20"/>
              </w:rPr>
              <w:t>UNet++ probability map plus image bands</w:t>
            </w:r>
          </w:p>
        </w:tc>
        <w:tc>
          <w:tcPr>
            <w:tcW w:w="2412" w:type="dxa"/>
            <w:vAlign w:val="center"/>
          </w:tcPr>
          <w:p w14:paraId="5E46FE7F" w14:textId="77777777" w:rsidR="00A82BEE" w:rsidRDefault="0047710E">
            <w:r>
              <w:rPr>
                <w:sz w:val="20"/>
              </w:rPr>
              <w:t>DenseCRF boundary refinement</w:t>
            </w:r>
          </w:p>
        </w:tc>
        <w:tc>
          <w:tcPr>
            <w:tcW w:w="2412" w:type="dxa"/>
            <w:vAlign w:val="center"/>
          </w:tcPr>
          <w:p w14:paraId="649E32B0" w14:textId="77777777" w:rsidR="00A82BEE" w:rsidRDefault="0047710E">
            <w:r>
              <w:rPr>
                <w:sz w:val="20"/>
              </w:rPr>
              <w:t>Spatial coherence post-processing</w:t>
            </w:r>
          </w:p>
        </w:tc>
      </w:tr>
    </w:tbl>
    <w:p w14:paraId="6860A887" w14:textId="77777777" w:rsidR="00A82BEE" w:rsidRDefault="00A82BEE"/>
    <w:p w14:paraId="5F2E207A" w14:textId="77777777" w:rsidR="00A82BEE" w:rsidRDefault="0047710E">
      <w:r>
        <w:t>For the fixed threshold method, B08 &gt;= 0.22 is the operational equivalent of the corrected-reflectance B08 &gt;= 0.12 threshold reported by Fisser and others. Otsu thresholding is the chip-adaptive thresholding method used here: it computes a chip-specific threshold from the B08 histogram and includes guard rules for radiometrically flat or ice-contaminated chips. Both threshold-only methods discard polygons smaller than the method-level minimum area after polygonization.</w:t>
      </w:r>
    </w:p>
    <w:p w14:paraId="07A0D592" w14:textId="77777777" w:rsidR="00A82BEE" w:rsidRDefault="0047710E">
      <w:r>
        <w:t>UNet++ produces the learned segmentation baseline and also saves two-band probability rasters for downstream methods. The direct UNet++ output uses the binary model decision P(iceberg) &gt; 0.5. The UNet++ + threshold branch is distinct: it thresholds the saved iceberg probability band at 0.22, matching the operational value recorded in the current baseline_v1 configuration. UNet++ + Otsu computes a per-chip threshold on the same probability band. UNet++ + CRF applies dense conditional random field post-proces</w:t>
      </w:r>
      <w:r>
        <w:t>sing to encourage spatially coherent boundaries aligned with image evidence.</w:t>
      </w:r>
    </w:p>
    <w:p w14:paraId="402DEF12" w14:textId="77777777" w:rsidR="00A82BEE" w:rsidRDefault="0047710E">
      <w:r>
        <w:t>White top-hat morphological filtering is the small-iceberg recovery extension. For each chip, the filter is applied to the B08 band to highlight small bright features, the response is thresholded, and candidate components below the 40 m root-length cutoff are removed. Pixels already covered by the base method prediction are excluded, so the recovery step targets missed candidates rather than redrawing detections the base method already found. The recovered polygons are unioned with the base polygons to prod</w:t>
      </w:r>
      <w:r>
        <w:t>uce +TH outputs for each base pipeline. Top-hat recovery is post-inference only and does not retrain or modify the UNet++ checkpoint.</w:t>
      </w:r>
    </w:p>
    <w:p w14:paraId="3D3965BF" w14:textId="77777777" w:rsidR="00A82BEE" w:rsidRDefault="0047710E">
      <w:pPr>
        <w:ind w:left="360"/>
      </w:pPr>
      <w:r>
        <w:t>Fig. 3. Planned methods schematic. Show the shared test image branching to: image to fixed threshold to segmentation; image to Otsu to segmentation; image to UNet++ to segmentation map; UNet++ map to fixed threshold; UNet++ map to Otsu; and UNet++ map to CRF. Then show white top-hat recovery as a uniform +TH extension applied after each base output.</w:t>
      </w:r>
    </w:p>
    <w:p w14:paraId="5E0132EA" w14:textId="77777777" w:rsidR="00A82BEE" w:rsidRDefault="0047710E">
      <w:pPr>
        <w:pStyle w:val="Heading2"/>
      </w:pPr>
      <w:r>
        <w:t>2.6 UNet++ training setup</w:t>
      </w:r>
    </w:p>
    <w:p w14:paraId="6F0B35BD" w14:textId="77777777" w:rsidR="00A82BEE" w:rsidRDefault="0047710E">
      <w:r>
        <w:t>The learned model is UNet++ with a ResNet-34 encoder pretrained on ImageNet. The model accepts 256 x 256 x 3 chips in B04 / B03 / B08 order and predicts one iceberg probability channel. Training uses binary segmentation only; no separate shadow class is learned. The checkpoint used for baseline_v1 was trained with seed 42 for 100 epochs on 551 training chips, with validation used only for checkpoint selection.</w:t>
      </w:r>
    </w:p>
    <w:p w14:paraId="1C1981BB" w14:textId="77777777" w:rsidR="00A82BEE" w:rsidRDefault="0047710E">
      <w:r>
        <w:t xml:space="preserve">The baseline configuration uses a Dice plus binary cross-entropy objective, AdamW optimization, a learning rate of 10^-4, weight decay of 10^-4, batch size 16, and cosine scheduling. Random horizontal flips, vertical </w:t>
      </w:r>
      <w:r>
        <w:lastRenderedPageBreak/>
        <w:t>flips, and 90 degree rotations are enabled in the baseline_v1 configuration. The code requires an explicit seed when experiment mode is active, and output artifacts are stamped with manifest and configuration identifiers to prevent cross-run drift.</w:t>
      </w:r>
    </w:p>
    <w:p w14:paraId="1992B655" w14:textId="77777777" w:rsidR="00A82BEE" w:rsidRDefault="0047710E">
      <w:pPr>
        <w:pStyle w:val="Heading2"/>
      </w:pPr>
      <w:r>
        <w:t>2.7 Evaluation metrics</w:t>
      </w:r>
    </w:p>
    <w:p w14:paraId="2C6994BA" w14:textId="77777777" w:rsidR="00A82BEE" w:rsidRDefault="0047710E">
      <w:r>
        <w:t>Evaluation is organized around area retrieval because that is the scientific quantity shared with the threshold literature. Predictions are polygonized into one feature per detected iceberg and rasterized back to the chip grid for comparison with the binary ground-truth mask. Two evaluation views are produced: chip-level segmentation metrics and per-iceberg matched-pair metrics.</w:t>
      </w:r>
    </w:p>
    <w:p w14:paraId="2479C234" w14:textId="77777777" w:rsidR="0023732F" w:rsidRDefault="0047710E">
      <w:r>
        <w:t>The headline metric is MAE on matched iceberg area and on square-root area, used as a root-length proxy. MAE is primary because it is interpretable in physical units and is the closest bridge to Fisser-style area-error reporting. IoU is secondary and is reported on matched pairs for segmentation-community comparison. MSE is supplementary because it heavily weights large outliers but remains useful for diagnosing area-error variance.</w:t>
      </w:r>
      <w:r w:rsidR="0023732F">
        <w:t xml:space="preserve"> For a predicted mask </w:t>
      </w:r>
      <w:r w:rsidR="0023732F">
        <w:rPr>
          <w:rFonts w:ascii="Cambria Math" w:hAnsi="Cambria Math" w:cs="Cambria Math"/>
        </w:rPr>
        <w:t>𝑃</w:t>
      </w:r>
      <w:r w:rsidR="0023732F">
        <w:t xml:space="preserve"> and reference mask </w:t>
      </w:r>
      <w:r w:rsidR="0023732F">
        <w:rPr>
          <w:rFonts w:ascii="Cambria Math" w:hAnsi="Cambria Math" w:cs="Cambria Math"/>
        </w:rPr>
        <w:t>𝑅</w:t>
      </w:r>
      <w:r w:rsidR="0023732F">
        <w:t xml:space="preserve">, </w:t>
      </w:r>
      <w:proofErr w:type="spellStart"/>
      <w:r w:rsidR="0023732F">
        <w:t>IoU</w:t>
      </w:r>
      <w:proofErr w:type="spellEnd"/>
      <w:r w:rsidR="0023732F">
        <w:t xml:space="preserve"> is defined as</w:t>
      </w:r>
    </w:p>
    <w:p w14:paraId="697B5FBC" w14:textId="55C5E89D" w:rsidR="00A82BEE" w:rsidRPr="0023732F" w:rsidRDefault="0023732F" w:rsidP="0023732F">
      <w:pPr>
        <w:rPr>
          <w:rFonts w:ascii="Cambria Math" w:hAnsi="Cambria Math"/>
          <w:color w:val="000000"/>
        </w:rPr>
      </w:pPr>
      <w:proofErr w:type="spellStart"/>
      <w:r w:rsidRPr="0023732F">
        <w:rPr>
          <w:rFonts w:ascii="Cambria Math" w:hAnsi="Cambria Math"/>
          <w:color w:val="000000"/>
        </w:rPr>
        <w:t>IoU</w:t>
      </w:r>
      <w:proofErr w:type="spellEnd"/>
      <w:r w:rsidRPr="0023732F">
        <w:rPr>
          <w:rFonts w:ascii="Cambria Math" w:hAnsi="Cambria Math"/>
          <w:color w:val="000000"/>
        </w:rPr>
        <w:t xml:space="preserve"> = |𝑃 ∩ 𝑅| / |𝑃 ∪ 𝑅</w:t>
      </w:r>
      <w:proofErr w:type="gramStart"/>
      <w:r w:rsidRPr="0023732F">
        <w:rPr>
          <w:rFonts w:ascii="Cambria Math" w:hAnsi="Cambria Math"/>
          <w:color w:val="000000"/>
        </w:rPr>
        <w:t>|  =</w:t>
      </w:r>
      <w:proofErr w:type="gramEnd"/>
      <w:r w:rsidRPr="0023732F">
        <w:rPr>
          <w:rFonts w:ascii="Cambria Math" w:hAnsi="Cambria Math"/>
          <w:color w:val="000000"/>
        </w:rPr>
        <w:t xml:space="preserve">  TP / (TP + FP + FN)</w:t>
      </w:r>
      <w:r w:rsidRPr="0023732F">
        <w:rPr>
          <w:rFonts w:ascii="Cambria Math" w:hAnsi="Cambria Math"/>
          <w:color w:val="000000"/>
        </w:rPr>
        <w:tab/>
        <w:t>(1)</w:t>
      </w:r>
    </w:p>
    <w:p w14:paraId="1E3279A3" w14:textId="77777777" w:rsidR="0025733A" w:rsidRDefault="0047710E">
      <w:r>
        <w:t xml:space="preserve">Area errors are computed from polygonized or rasterized iceberg area. </w:t>
      </w:r>
      <w:r w:rsidR="0025733A">
        <w:t xml:space="preserve">For chip </w:t>
      </w:r>
      <w:r w:rsidR="0025733A">
        <w:rPr>
          <w:rFonts w:ascii="Cambria Math" w:hAnsi="Cambria Math" w:cs="Cambria Math"/>
        </w:rPr>
        <w:t>𝑖</w:t>
      </w:r>
      <w:r w:rsidR="0025733A">
        <w:t>, predicted and reference areas are</w:t>
      </w:r>
    </w:p>
    <w:p w14:paraId="6F787D2D" w14:textId="77777777" w:rsidR="0025733A" w:rsidRDefault="0025733A" w:rsidP="0025733A">
      <w:pPr>
        <w:rPr>
          <w:rFonts w:ascii="Cambria Math" w:hAnsi="Cambria Math"/>
          <w:color w:val="000000"/>
        </w:rPr>
      </w:pPr>
      <w:r w:rsidRPr="0025733A">
        <w:rPr>
          <w:rFonts w:ascii="Cambria Math" w:hAnsi="Cambria Math"/>
          <w:color w:val="000000"/>
        </w:rPr>
        <w:t>𝐴_</w:t>
      </w:r>
      <w:proofErr w:type="gramStart"/>
      <w:r w:rsidRPr="0025733A">
        <w:rPr>
          <w:rFonts w:ascii="Cambria Math" w:hAnsi="Cambria Math"/>
          <w:color w:val="000000"/>
        </w:rPr>
        <w:t>pred,𝑖</w:t>
      </w:r>
      <w:proofErr w:type="gramEnd"/>
      <w:r w:rsidRPr="0025733A">
        <w:rPr>
          <w:rFonts w:ascii="Cambria Math" w:hAnsi="Cambria Math"/>
          <w:color w:val="000000"/>
        </w:rPr>
        <w:t xml:space="preserve"> = 𝑛_</w:t>
      </w:r>
      <w:proofErr w:type="gramStart"/>
      <w:r w:rsidRPr="0025733A">
        <w:rPr>
          <w:rFonts w:ascii="Cambria Math" w:hAnsi="Cambria Math"/>
          <w:color w:val="000000"/>
        </w:rPr>
        <w:t>pred,𝑖</w:t>
      </w:r>
      <w:proofErr w:type="gramEnd"/>
      <w:r w:rsidRPr="0025733A">
        <w:rPr>
          <w:rFonts w:ascii="Cambria Math" w:hAnsi="Cambria Math"/>
          <w:color w:val="000000"/>
        </w:rPr>
        <w:t xml:space="preserve"> · 𝑟</w:t>
      </w:r>
      <w:proofErr w:type="gramStart"/>
      <w:r w:rsidRPr="0025733A">
        <w:rPr>
          <w:rFonts w:ascii="Cambria Math" w:hAnsi="Cambria Math"/>
          <w:color w:val="000000"/>
        </w:rPr>
        <w:t xml:space="preserve">²,   </w:t>
      </w:r>
      <w:proofErr w:type="gramEnd"/>
      <w:r w:rsidRPr="0025733A">
        <w:rPr>
          <w:rFonts w:ascii="Cambria Math" w:hAnsi="Cambria Math"/>
          <w:color w:val="000000"/>
        </w:rPr>
        <w:t xml:space="preserve"> 𝐴_</w:t>
      </w:r>
      <w:proofErr w:type="gramStart"/>
      <w:r w:rsidRPr="0025733A">
        <w:rPr>
          <w:rFonts w:ascii="Cambria Math" w:hAnsi="Cambria Math"/>
          <w:color w:val="000000"/>
        </w:rPr>
        <w:t>ref,𝑖</w:t>
      </w:r>
      <w:proofErr w:type="gramEnd"/>
      <w:r w:rsidRPr="0025733A">
        <w:rPr>
          <w:rFonts w:ascii="Cambria Math" w:hAnsi="Cambria Math"/>
          <w:color w:val="000000"/>
        </w:rPr>
        <w:t xml:space="preserve"> = 𝑛_</w:t>
      </w:r>
      <w:proofErr w:type="gramStart"/>
      <w:r w:rsidRPr="0025733A">
        <w:rPr>
          <w:rFonts w:ascii="Cambria Math" w:hAnsi="Cambria Math"/>
          <w:color w:val="000000"/>
        </w:rPr>
        <w:t>ref,𝑖</w:t>
      </w:r>
      <w:proofErr w:type="gramEnd"/>
      <w:r w:rsidRPr="0025733A">
        <w:rPr>
          <w:rFonts w:ascii="Cambria Math" w:hAnsi="Cambria Math"/>
          <w:color w:val="000000"/>
        </w:rPr>
        <w:t xml:space="preserve"> · 𝑟²</w:t>
      </w:r>
      <w:r w:rsidRPr="0025733A">
        <w:rPr>
          <w:rFonts w:ascii="Cambria Math" w:hAnsi="Cambria Math"/>
          <w:color w:val="000000"/>
        </w:rPr>
        <w:tab/>
        <w:t>(2)</w:t>
      </w:r>
    </w:p>
    <w:p w14:paraId="7EA9D71A" w14:textId="77777777" w:rsidR="0025733A" w:rsidRDefault="0025733A" w:rsidP="0025733A">
      <w:pPr>
        <w:rPr>
          <w:color w:val="000000"/>
        </w:rPr>
      </w:pPr>
      <w:r w:rsidRPr="0025733A">
        <w:rPr>
          <w:color w:val="000000"/>
        </w:rPr>
        <w:t xml:space="preserve">where </w:t>
      </w:r>
      <w:r w:rsidRPr="0025733A">
        <w:rPr>
          <w:rFonts w:ascii="Cambria Math" w:hAnsi="Cambria Math" w:cs="Cambria Math"/>
          <w:color w:val="000000"/>
        </w:rPr>
        <w:t>𝑟</w:t>
      </w:r>
      <w:r w:rsidRPr="0025733A">
        <w:rPr>
          <w:color w:val="000000"/>
        </w:rPr>
        <w:t xml:space="preserve"> = 10 m is the Sentinel-</w:t>
      </w:r>
      <w:proofErr w:type="gramStart"/>
      <w:r w:rsidRPr="0025733A">
        <w:rPr>
          <w:color w:val="000000"/>
        </w:rPr>
        <w:t>2 pixel</w:t>
      </w:r>
      <w:proofErr w:type="gramEnd"/>
      <w:r w:rsidRPr="0025733A">
        <w:rPr>
          <w:color w:val="000000"/>
        </w:rPr>
        <w:t xml:space="preserve"> size. The signed per-chip area error is</w:t>
      </w:r>
    </w:p>
    <w:p w14:paraId="220FA9FB" w14:textId="77777777" w:rsidR="0025733A" w:rsidRDefault="0025733A" w:rsidP="0025733A">
      <w:pPr>
        <w:rPr>
          <w:rFonts w:ascii="Cambria Math" w:hAnsi="Cambria Math"/>
          <w:color w:val="000000"/>
        </w:rPr>
      </w:pPr>
      <w:r w:rsidRPr="0025733A">
        <w:rPr>
          <w:rFonts w:ascii="Cambria Math" w:hAnsi="Cambria Math"/>
          <w:color w:val="000000"/>
        </w:rPr>
        <w:t>𝑒_𝑖 = 𝐴_</w:t>
      </w:r>
      <w:proofErr w:type="gramStart"/>
      <w:r w:rsidRPr="0025733A">
        <w:rPr>
          <w:rFonts w:ascii="Cambria Math" w:hAnsi="Cambria Math"/>
          <w:color w:val="000000"/>
        </w:rPr>
        <w:t>pred,𝑖</w:t>
      </w:r>
      <w:proofErr w:type="gramEnd"/>
      <w:r w:rsidRPr="0025733A">
        <w:rPr>
          <w:rFonts w:ascii="Cambria Math" w:hAnsi="Cambria Math"/>
          <w:color w:val="000000"/>
        </w:rPr>
        <w:t xml:space="preserve"> − 𝐴_</w:t>
      </w:r>
      <w:proofErr w:type="gramStart"/>
      <w:r w:rsidRPr="0025733A">
        <w:rPr>
          <w:rFonts w:ascii="Cambria Math" w:hAnsi="Cambria Math"/>
          <w:color w:val="000000"/>
        </w:rPr>
        <w:t>ref,𝑖</w:t>
      </w:r>
      <w:proofErr w:type="gramEnd"/>
      <w:r w:rsidRPr="0025733A">
        <w:rPr>
          <w:rFonts w:ascii="Cambria Math" w:hAnsi="Cambria Math"/>
          <w:color w:val="000000"/>
        </w:rPr>
        <w:tab/>
        <w:t>(3)</w:t>
      </w:r>
    </w:p>
    <w:p w14:paraId="5A16165D" w14:textId="77777777" w:rsidR="0025733A" w:rsidRDefault="0025733A" w:rsidP="0025733A">
      <w:pPr>
        <w:rPr>
          <w:color w:val="000000"/>
        </w:rPr>
      </w:pPr>
      <w:r w:rsidRPr="0025733A">
        <w:rPr>
          <w:color w:val="000000"/>
        </w:rPr>
        <w:t xml:space="preserve">and across </w:t>
      </w:r>
      <w:r w:rsidRPr="0025733A">
        <w:rPr>
          <w:rFonts w:ascii="Cambria Math" w:hAnsi="Cambria Math" w:cs="Cambria Math"/>
          <w:color w:val="000000"/>
        </w:rPr>
        <w:t>𝑁</w:t>
      </w:r>
      <w:r w:rsidRPr="0025733A">
        <w:rPr>
          <w:color w:val="000000"/>
        </w:rPr>
        <w:t xml:space="preserve"> evaluated chips,</w:t>
      </w:r>
    </w:p>
    <w:p w14:paraId="3D14AA08" w14:textId="5E6B6BDE" w:rsidR="00A82BEE" w:rsidRPr="0025733A" w:rsidRDefault="0025733A" w:rsidP="0025733A">
      <w:pPr>
        <w:rPr>
          <w:rFonts w:ascii="Cambria Math" w:hAnsi="Cambria Math"/>
          <w:color w:val="000000"/>
        </w:rPr>
      </w:pPr>
      <w:proofErr w:type="spellStart"/>
      <w:r w:rsidRPr="0025733A">
        <w:rPr>
          <w:rFonts w:ascii="Cambria Math" w:hAnsi="Cambria Math"/>
          <w:color w:val="000000"/>
        </w:rPr>
        <w:t>MAE_area</w:t>
      </w:r>
      <w:proofErr w:type="spellEnd"/>
      <w:r w:rsidRPr="0025733A">
        <w:rPr>
          <w:rFonts w:ascii="Cambria Math" w:hAnsi="Cambria Math"/>
          <w:color w:val="000000"/>
        </w:rPr>
        <w:t xml:space="preserve"> = (1/𝑁) Σᵢ |𝑒_𝑖</w:t>
      </w:r>
      <w:proofErr w:type="gramStart"/>
      <w:r w:rsidRPr="0025733A">
        <w:rPr>
          <w:rFonts w:ascii="Cambria Math" w:hAnsi="Cambria Math"/>
          <w:color w:val="000000"/>
        </w:rPr>
        <w:t xml:space="preserve">|,   </w:t>
      </w:r>
      <w:proofErr w:type="gramEnd"/>
      <w:r w:rsidRPr="0025733A">
        <w:rPr>
          <w:rFonts w:ascii="Cambria Math" w:hAnsi="Cambria Math"/>
          <w:color w:val="000000"/>
        </w:rPr>
        <w:t xml:space="preserve"> </w:t>
      </w:r>
      <w:proofErr w:type="spellStart"/>
      <w:r w:rsidRPr="0025733A">
        <w:rPr>
          <w:rFonts w:ascii="Cambria Math" w:hAnsi="Cambria Math"/>
          <w:color w:val="000000"/>
        </w:rPr>
        <w:t>MSE_area</w:t>
      </w:r>
      <w:proofErr w:type="spellEnd"/>
      <w:r w:rsidRPr="0025733A">
        <w:rPr>
          <w:rFonts w:ascii="Cambria Math" w:hAnsi="Cambria Math"/>
          <w:color w:val="000000"/>
        </w:rPr>
        <w:t xml:space="preserve"> = (1/𝑁) Σᵢ 𝑒_𝑖²</w:t>
      </w:r>
      <w:r w:rsidRPr="0025733A">
        <w:rPr>
          <w:rFonts w:ascii="Cambria Math" w:hAnsi="Cambria Math"/>
          <w:color w:val="000000"/>
        </w:rPr>
        <w:tab/>
        <w:t>(4)</w:t>
      </w:r>
    </w:p>
    <w:p w14:paraId="1FE20376" w14:textId="77777777" w:rsidR="009712A6" w:rsidRDefault="0047710E">
      <w:r>
        <w:t xml:space="preserve">For the per-iceberg matched-pair tables, the same equations are applied after Hungarian matching. </w:t>
      </w:r>
      <w:r w:rsidR="009712A6">
        <w:t xml:space="preserve">For </w:t>
      </w:r>
      <w:r w:rsidR="009712A6">
        <w:rPr>
          <w:rFonts w:ascii="Cambria Math" w:hAnsi="Cambria Math" w:cs="Cambria Math"/>
        </w:rPr>
        <w:t>𝑀</w:t>
      </w:r>
      <w:r w:rsidR="009712A6">
        <w:t xml:space="preserve"> matched pairs,</w:t>
      </w:r>
    </w:p>
    <w:p w14:paraId="08A95442" w14:textId="77777777" w:rsidR="009712A6" w:rsidRPr="009712A6" w:rsidRDefault="009712A6" w:rsidP="009712A6">
      <w:pPr>
        <w:rPr>
          <w:rFonts w:ascii="Cambria Math" w:hAnsi="Cambria Math"/>
          <w:color w:val="000000"/>
        </w:rPr>
      </w:pPr>
      <w:proofErr w:type="spellStart"/>
      <w:r w:rsidRPr="009712A6">
        <w:rPr>
          <w:rFonts w:ascii="Cambria Math" w:hAnsi="Cambria Math"/>
          <w:color w:val="000000"/>
        </w:rPr>
        <w:t>MAE_area</w:t>
      </w:r>
      <w:proofErr w:type="spellEnd"/>
      <w:r w:rsidRPr="009712A6">
        <w:rPr>
          <w:rFonts w:ascii="Cambria Math" w:hAnsi="Cambria Math"/>
          <w:color w:val="000000"/>
        </w:rPr>
        <w:t xml:space="preserve"> = (1/𝑀) Σ</w:t>
      </w:r>
      <w:r w:rsidRPr="009712A6">
        <w:rPr>
          <w:rFonts w:ascii="Cambria Math" w:hAnsi="Cambria Math" w:cs="Times New Roman"/>
          <w:color w:val="000000"/>
        </w:rPr>
        <w:t>ⱼ</w:t>
      </w:r>
      <w:r w:rsidRPr="009712A6">
        <w:rPr>
          <w:rFonts w:ascii="Cambria Math" w:hAnsi="Cambria Math"/>
          <w:color w:val="000000"/>
        </w:rPr>
        <w:t xml:space="preserve"> |𝐴_S</w:t>
      </w:r>
      <w:proofErr w:type="gramStart"/>
      <w:r w:rsidRPr="009712A6">
        <w:rPr>
          <w:rFonts w:ascii="Cambria Math" w:hAnsi="Cambria Math"/>
          <w:color w:val="000000"/>
        </w:rPr>
        <w:t>2,𝑗</w:t>
      </w:r>
      <w:proofErr w:type="gramEnd"/>
      <w:r w:rsidRPr="009712A6">
        <w:rPr>
          <w:rFonts w:ascii="Cambria Math" w:hAnsi="Cambria Math"/>
          <w:color w:val="000000"/>
        </w:rPr>
        <w:t xml:space="preserve"> − 𝐴_</w:t>
      </w:r>
      <w:proofErr w:type="gramStart"/>
      <w:r w:rsidRPr="009712A6">
        <w:rPr>
          <w:rFonts w:ascii="Cambria Math" w:hAnsi="Cambria Math"/>
          <w:color w:val="000000"/>
        </w:rPr>
        <w:t>ref,𝑗</w:t>
      </w:r>
      <w:proofErr w:type="gramEnd"/>
      <w:r w:rsidRPr="009712A6">
        <w:rPr>
          <w:rFonts w:ascii="Cambria Math" w:hAnsi="Cambria Math"/>
          <w:color w:val="000000"/>
        </w:rPr>
        <w:t>|</w:t>
      </w:r>
      <w:r w:rsidRPr="009712A6">
        <w:rPr>
          <w:rFonts w:ascii="Cambria Math" w:hAnsi="Cambria Math"/>
          <w:color w:val="000000"/>
        </w:rPr>
        <w:tab/>
        <w:t>(5)</w:t>
      </w:r>
    </w:p>
    <w:p w14:paraId="7E2D884D" w14:textId="77777777" w:rsidR="009712A6" w:rsidRPr="009712A6" w:rsidRDefault="009712A6" w:rsidP="009712A6">
      <w:pPr>
        <w:rPr>
          <w:rFonts w:ascii="Cambria Math" w:hAnsi="Cambria Math"/>
          <w:color w:val="000000"/>
        </w:rPr>
      </w:pPr>
      <w:proofErr w:type="spellStart"/>
      <w:r w:rsidRPr="009712A6">
        <w:rPr>
          <w:rFonts w:ascii="Cambria Math" w:hAnsi="Cambria Math"/>
          <w:color w:val="000000"/>
        </w:rPr>
        <w:t>MAE_root</w:t>
      </w:r>
      <w:proofErr w:type="spellEnd"/>
      <w:r w:rsidRPr="009712A6">
        <w:rPr>
          <w:rFonts w:ascii="Cambria Math" w:hAnsi="Cambria Math"/>
          <w:color w:val="000000"/>
        </w:rPr>
        <w:t xml:space="preserve"> = (1/𝑀) Σ</w:t>
      </w:r>
      <w:r w:rsidRPr="009712A6">
        <w:rPr>
          <w:rFonts w:ascii="Cambria Math" w:hAnsi="Cambria Math" w:cs="Times New Roman"/>
          <w:color w:val="000000"/>
        </w:rPr>
        <w:t>ⱼ</w:t>
      </w:r>
      <w:r w:rsidRPr="009712A6">
        <w:rPr>
          <w:rFonts w:ascii="Cambria Math" w:hAnsi="Cambria Math"/>
          <w:color w:val="000000"/>
        </w:rPr>
        <w:t xml:space="preserve"> |√𝐴_S</w:t>
      </w:r>
      <w:proofErr w:type="gramStart"/>
      <w:r w:rsidRPr="009712A6">
        <w:rPr>
          <w:rFonts w:ascii="Cambria Math" w:hAnsi="Cambria Math"/>
          <w:color w:val="000000"/>
        </w:rPr>
        <w:t>2,𝑗</w:t>
      </w:r>
      <w:proofErr w:type="gramEnd"/>
      <w:r w:rsidRPr="009712A6">
        <w:rPr>
          <w:rFonts w:ascii="Cambria Math" w:hAnsi="Cambria Math"/>
          <w:color w:val="000000"/>
        </w:rPr>
        <w:t xml:space="preserve"> − √𝐴_</w:t>
      </w:r>
      <w:proofErr w:type="gramStart"/>
      <w:r w:rsidRPr="009712A6">
        <w:rPr>
          <w:rFonts w:ascii="Cambria Math" w:hAnsi="Cambria Math"/>
          <w:color w:val="000000"/>
        </w:rPr>
        <w:t>ref,𝑗</w:t>
      </w:r>
      <w:proofErr w:type="gramEnd"/>
      <w:r w:rsidRPr="009712A6">
        <w:rPr>
          <w:rFonts w:ascii="Cambria Math" w:hAnsi="Cambria Math"/>
          <w:color w:val="000000"/>
        </w:rPr>
        <w:t>|</w:t>
      </w:r>
      <w:r w:rsidRPr="009712A6">
        <w:rPr>
          <w:rFonts w:ascii="Cambria Math" w:hAnsi="Cambria Math"/>
          <w:color w:val="000000"/>
        </w:rPr>
        <w:tab/>
        <w:t>(6)</w:t>
      </w:r>
    </w:p>
    <w:p w14:paraId="5CCBBC9C" w14:textId="46B739B4" w:rsidR="00A82BEE" w:rsidRPr="009712A6" w:rsidRDefault="009712A6" w:rsidP="009712A6">
      <w:pPr>
        <w:rPr>
          <w:rFonts w:ascii="Cambria Math" w:hAnsi="Cambria Math"/>
          <w:color w:val="000000"/>
        </w:rPr>
      </w:pPr>
      <w:proofErr w:type="spellStart"/>
      <w:r w:rsidRPr="009712A6">
        <w:rPr>
          <w:rFonts w:ascii="Cambria Math" w:hAnsi="Cambria Math"/>
          <w:color w:val="000000"/>
        </w:rPr>
        <w:t>MSE_area</w:t>
      </w:r>
      <w:proofErr w:type="spellEnd"/>
      <w:r w:rsidRPr="009712A6">
        <w:rPr>
          <w:rFonts w:ascii="Cambria Math" w:hAnsi="Cambria Math"/>
          <w:color w:val="000000"/>
        </w:rPr>
        <w:t xml:space="preserve"> = (1/𝑀) Σ</w:t>
      </w:r>
      <w:r w:rsidRPr="009712A6">
        <w:rPr>
          <w:rFonts w:ascii="Cambria Math" w:hAnsi="Cambria Math" w:cs="Times New Roman"/>
          <w:color w:val="000000"/>
        </w:rPr>
        <w:t>ⱼ</w:t>
      </w:r>
      <w:r w:rsidRPr="009712A6">
        <w:rPr>
          <w:rFonts w:ascii="Cambria Math" w:hAnsi="Cambria Math"/>
          <w:color w:val="000000"/>
        </w:rPr>
        <w:t xml:space="preserve"> (𝐴_S</w:t>
      </w:r>
      <w:proofErr w:type="gramStart"/>
      <w:r w:rsidRPr="009712A6">
        <w:rPr>
          <w:rFonts w:ascii="Cambria Math" w:hAnsi="Cambria Math"/>
          <w:color w:val="000000"/>
        </w:rPr>
        <w:t>2,𝑗</w:t>
      </w:r>
      <w:proofErr w:type="gramEnd"/>
      <w:r w:rsidRPr="009712A6">
        <w:rPr>
          <w:rFonts w:ascii="Cambria Math" w:hAnsi="Cambria Math"/>
          <w:color w:val="000000"/>
        </w:rPr>
        <w:t xml:space="preserve"> − 𝐴_</w:t>
      </w:r>
      <w:proofErr w:type="gramStart"/>
      <w:r w:rsidRPr="009712A6">
        <w:rPr>
          <w:rFonts w:ascii="Cambria Math" w:hAnsi="Cambria Math"/>
          <w:color w:val="000000"/>
        </w:rPr>
        <w:t>ref,𝑗</w:t>
      </w:r>
      <w:proofErr w:type="gramEnd"/>
      <w:r w:rsidRPr="009712A6">
        <w:rPr>
          <w:rFonts w:ascii="Cambria Math" w:hAnsi="Cambria Math"/>
          <w:color w:val="000000"/>
        </w:rPr>
        <w:t>)²</w:t>
      </w:r>
      <w:r w:rsidRPr="009712A6">
        <w:rPr>
          <w:rFonts w:ascii="Cambria Math" w:hAnsi="Cambria Math"/>
          <w:color w:val="000000"/>
        </w:rPr>
        <w:tab/>
        <w:t>(7)</w:t>
      </w:r>
    </w:p>
    <w:p w14:paraId="0F0FA65C" w14:textId="77777777" w:rsidR="00A82BEE" w:rsidRDefault="0047710E">
      <w:r>
        <w:t>Per-iceberg matching uses connected components in the ground-truth and predicted masks. Pairwise IoU is computed for candidate pairs, and Hungarian assignment minimizes 1 - IoU. Pairs below the IoU threshold are treated as unmatched. Each method therefore reports not only MAE and IoU, but also detection counts, match rate, and precision so that low-error results on a small matched subset are not over-interpreted.</w:t>
      </w:r>
    </w:p>
    <w:p w14:paraId="666DCA4C" w14:textId="77777777" w:rsidR="00A82BEE" w:rsidRDefault="0047710E">
      <w:pPr>
        <w:ind w:left="360"/>
      </w:pPr>
      <w:r>
        <w:rPr>
          <w:b/>
          <w:i/>
        </w:rPr>
        <w:t xml:space="preserve">Fig. 4. </w:t>
      </w:r>
      <w:r>
        <w:rPr>
          <w:i/>
        </w:rPr>
        <w:t>Planned evaluation schematic. Show ground-truth components and predicted components, Hungarian matching by IoU, unmatched false negatives and false positives, and the resulting MAE / IoU / MSE reporting table.</w:t>
      </w:r>
    </w:p>
    <w:p w14:paraId="1CF6AC43" w14:textId="77777777" w:rsidR="00A82BEE" w:rsidRDefault="0047710E">
      <w:pPr>
        <w:pStyle w:val="Heading2"/>
      </w:pPr>
      <w:r>
        <w:t>2.8 Experiment progression and reproducibility</w:t>
      </w:r>
    </w:p>
    <w:p w14:paraId="3E3B5A56" w14:textId="77777777" w:rsidR="00A82BEE" w:rsidRDefault="0047710E">
      <w:r>
        <w:t>The paper is structured as a progression rather than a disconnected model leaderboard. Phase A walks the dataset axis using lt65-scoped experiments: Fisser preprocessing, null-chip injection, the current 40 m plus IC preprocessing, augmentations, and class / size balancing. Each step changes one controlled variable. This makes the dataset story readable and prevents the final comparison from hiding multiple simultaneous changes.</w:t>
      </w:r>
    </w:p>
    <w:p w14:paraId="06056079" w14:textId="77777777" w:rsidR="00A82BEE" w:rsidRDefault="0047710E">
      <w:r>
        <w:t xml:space="preserve">The Phase A balancing grid is interpreted as both a designed grid and a realized set of training conditions. On the current manifest, several balancing schemes converge because GT-positive chips are already the majority </w:t>
      </w:r>
      <w:r>
        <w:lastRenderedPageBreak/>
        <w:t>and the size-oversampling cap saturates. The result reframes Phase A around dataset definition: a cleaner iceberg-only task versus a realistic fjord-scene task with sea ice and melange retained.</w:t>
      </w:r>
    </w:p>
    <w:p w14:paraId="1752C386" w14:textId="77777777" w:rsidR="00A82BEE" w:rsidRDefault="0047710E">
      <w:r>
        <w:t>Phase B walks the method axis. Once the dataset choice is fixed, the same trained checkpoint and the same test chips are used to report the six base methods: fixed threshold, Otsu, UNet++, UNet++ + threshold, UNet++ + Otsu, and UNet++ + CRF. White top-hat recovery is evaluated as a uniform post-inference extension to those base outputs where reported. This single-checkpoint design keeps the method comparison focused on the segmentation and post-processing rule rather than retraining variance.</w:t>
      </w:r>
    </w:p>
    <w:p w14:paraId="5D239CAE" w14:textId="77777777" w:rsidR="00A82BEE" w:rsidRDefault="0047710E">
      <w:r>
        <w:t>Every run is driven through the same manifest, training, inference, evaluation, and figure stages. The manifest carries a chips_sha identity, and downstream outputs stamp the experiment id, manifest identity, configuration identity, seed, and code version. These stamps are required for the paper because the main claim depends on comparing methods over byte-identical chip membership.</w:t>
      </w:r>
    </w:p>
    <w:p w14:paraId="3A3EB779" w14:textId="77777777" w:rsidR="00A82BEE" w:rsidRDefault="0047710E">
      <w:pPr>
        <w:ind w:left="360"/>
      </w:pPr>
      <w:r>
        <w:t>Fig. 5. Planned progression visual. Show Phase A as the dataset-cleaning and balancing chain, then Phase B as the six-base-method sweep on the frozen selected dataset, followed by the top-hat recovery extension. Keep the figure reader-facing: one motivation sentence per step, not implementation detail.</w:t>
      </w:r>
    </w:p>
    <w:p w14:paraId="131164E4" w14:textId="77777777" w:rsidR="00A82BEE" w:rsidRDefault="0047710E">
      <w:pPr>
        <w:pStyle w:val="Heading2"/>
      </w:pPr>
      <w:r>
        <w:t>2.9 Current exclusions</w:t>
      </w:r>
    </w:p>
    <w:p w14:paraId="1D5840B1" w14:textId="77777777" w:rsidR="00A82BEE" w:rsidRDefault="0047710E">
      <w:r>
        <w:t>The current manuscript scope does not include model-architecture changes, additional input channels, or new retraining unless a required basic experiment is missing and explicitly approved. CatBoost and other covariate-informed classifiers were considered as future extensions but are not included in the current comparison because they would require new feature design, labels, leakage controls, and mask or polygon reconstruction. The immediate paper task is to make the existing base-method and top-hat recove</w:t>
      </w:r>
      <w:r>
        <w:t>ry comparison defensible before adding another methodological branch.</w:t>
      </w:r>
    </w:p>
    <w:sectPr w:rsidR="00A82BEE" w:rsidSect="00034616">
      <w:headerReference w:type="even" r:id="rId8"/>
      <w:headerReference w:type="default" r:id="rId9"/>
      <w:footerReference w:type="even" r:id="rId10"/>
      <w:footerReference w:type="default" r:id="rId11"/>
      <w:headerReference w:type="first" r:id="rId12"/>
      <w:footerReference w:type="first" r:id="rId13"/>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91A33" w14:textId="77777777" w:rsidR="0047710E" w:rsidRDefault="0047710E" w:rsidP="00B30F3A">
      <w:pPr>
        <w:spacing w:after="0" w:line="240" w:lineRule="auto"/>
      </w:pPr>
      <w:r>
        <w:separator/>
      </w:r>
    </w:p>
  </w:endnote>
  <w:endnote w:type="continuationSeparator" w:id="0">
    <w:p w14:paraId="4DEB952D" w14:textId="77777777" w:rsidR="0047710E" w:rsidRDefault="0047710E" w:rsidP="00B30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33833" w14:textId="77777777" w:rsidR="00B30F3A" w:rsidRDefault="00B30F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07312" w14:textId="77777777" w:rsidR="00B30F3A" w:rsidRDefault="00B30F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5776" w14:textId="77777777" w:rsidR="00B30F3A" w:rsidRDefault="00B30F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F3CE7" w14:textId="77777777" w:rsidR="0047710E" w:rsidRDefault="0047710E" w:rsidP="00B30F3A">
      <w:pPr>
        <w:spacing w:after="0" w:line="240" w:lineRule="auto"/>
      </w:pPr>
      <w:r>
        <w:separator/>
      </w:r>
    </w:p>
  </w:footnote>
  <w:footnote w:type="continuationSeparator" w:id="0">
    <w:p w14:paraId="416D86FA" w14:textId="77777777" w:rsidR="0047710E" w:rsidRDefault="0047710E" w:rsidP="00B30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54D5" w14:textId="77777777" w:rsidR="00B30F3A" w:rsidRDefault="00B30F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44C9" w14:textId="77777777" w:rsidR="00B30F3A" w:rsidRDefault="00B30F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948D7" w14:textId="77777777" w:rsidR="00B30F3A" w:rsidRDefault="00B30F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8803151">
    <w:abstractNumId w:val="8"/>
  </w:num>
  <w:num w:numId="2" w16cid:durableId="648172178">
    <w:abstractNumId w:val="6"/>
  </w:num>
  <w:num w:numId="3" w16cid:durableId="340205570">
    <w:abstractNumId w:val="5"/>
  </w:num>
  <w:num w:numId="4" w16cid:durableId="153036011">
    <w:abstractNumId w:val="4"/>
  </w:num>
  <w:num w:numId="5" w16cid:durableId="825240275">
    <w:abstractNumId w:val="7"/>
  </w:num>
  <w:num w:numId="6" w16cid:durableId="1088817355">
    <w:abstractNumId w:val="3"/>
  </w:num>
  <w:num w:numId="7" w16cid:durableId="3940221">
    <w:abstractNumId w:val="2"/>
  </w:num>
  <w:num w:numId="8" w16cid:durableId="186065102">
    <w:abstractNumId w:val="1"/>
  </w:num>
  <w:num w:numId="9" w16cid:durableId="506408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7B8"/>
    <w:rsid w:val="0015074B"/>
    <w:rsid w:val="0023732F"/>
    <w:rsid w:val="002516A4"/>
    <w:rsid w:val="0025733A"/>
    <w:rsid w:val="0029639D"/>
    <w:rsid w:val="00326F90"/>
    <w:rsid w:val="0047710E"/>
    <w:rsid w:val="0054427F"/>
    <w:rsid w:val="008101CF"/>
    <w:rsid w:val="009712A6"/>
    <w:rsid w:val="00A82BEE"/>
    <w:rsid w:val="00AA1D8D"/>
    <w:rsid w:val="00B30F3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527AA00-E059-FD41-8D4E-E961F3F9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61FB8F-C650-E24D-A62C-CDA879CA0A23}">
  <we:reference id="WA200010453" version="1.0.0.1" store="Omex" storeType="OMEX"/>
  <we:alternateReferences>
    <we:reference id="WA200010453" version="1.0.0.1" store="WA200010453" storeType="OMEX"/>
  </we:alternateReferences>
  <we:properties>
    <we:property name="claude.fileId" value="&quot;bcfa7811-b89f-4602-8a3b-af5fa83999a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2859</Words>
  <Characters>16468</Characters>
  <Application>Microsoft Office Word</Application>
  <DocSecurity>0</DocSecurity>
  <Lines>265</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IDS2026 Introduction and Methods Draft</dc:title>
  <dc:subject>Updated Introduction and Methods with figure callouts</dc:subject>
  <dc:creator>IDS2026 project team</dc:creator>
  <cp:keywords/>
  <dc:description>Generated from current local IDS2026 paper-writing sources; figure callouts only, no embedded figures.</dc:description>
  <cp:lastModifiedBy>Louisa Linkas</cp:lastModifiedBy>
  <cp:revision>9</cp:revision>
  <dcterms:created xsi:type="dcterms:W3CDTF">2013-12-23T23:15:00Z</dcterms:created>
  <dcterms:modified xsi:type="dcterms:W3CDTF">2026-04-30T16:29:00Z</dcterms:modified>
  <cp:category/>
</cp:coreProperties>
</file>