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val="x-none" w:eastAsia="x-none"/>
        </w:rPr>
        <w:t>компьютерных систем ФИТ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Пищик Борис Николаевич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учебной практики, эксплуатационной практики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  <w:lang w:eastAsia="ru-RU"/>
        </w:rPr>
        <w:t xml:space="preserve">Кондренко Кирилла Павловича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ab/>
        <w:tab/>
        <w:tab/>
        <w:tab/>
      </w:r>
      <w:r>
        <w:rPr>
          <w:rFonts w:eastAsia="Calibri" w:cs="Times New Roman" w:ascii="Times New Roman" w:hAnsi="Times New Roman"/>
          <w:b/>
          <w:lang w:eastAsia="ru-RU"/>
        </w:rPr>
        <w:t>группа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21203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 xml:space="preserve">       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развёртывание и анализ программно-аппаратного комплекса «РУБИКОН-К»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left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1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1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lang w:eastAsia="ru-RU"/>
        </w:rPr>
        <w:t>Лаборатория современных компьютерных технологий, 630090, г. Новосибирск, ул. Пирогова, д. 1, каб. 1127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color w:val="000000" w:themeColor="text1"/>
          <w:u w:val="single"/>
        </w:rPr>
        <w:t>с 05.02.2024 г. по 24.05.2024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</w:t>
        <w:tab/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 xml:space="preserve">  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 xml:space="preserve">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      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доцент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Виды работ и требования к их выполнению: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изучение 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анализ технической документации,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ru-RU" w:bidi="ar-SA"/>
        </w:rPr>
        <w:t>инсталляция программного и аппаратного обеспечения информационных и автоматизированных систем; настройка, наладка, тестирование и проверка работоспособности программно-аппаратных комплексов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1656"/>
        <w:gridCol w:w="1991"/>
        <w:gridCol w:w="3970"/>
        <w:gridCol w:w="1809"/>
      </w:tblGrid>
      <w:tr>
        <w:trPr/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05.02.2024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u w:val="none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u w:val="none"/>
                <w:lang w:val="ru-RU" w:eastAsia="ru-RU" w:bidi="ar-SA"/>
              </w:rPr>
              <w:t>Получение индивидуального задания, получение необходимого программного обеспечения для прохождении практики.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задания.</w:t>
            </w:r>
          </w:p>
        </w:tc>
        <w:tc>
          <w:tcPr>
            <w:tcW w:w="1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14.05.2024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Изучение и анализ официальной документации «Рубикон-К» 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ОПК-7.2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инсталляция программного обеспечения, необходимого для развёртывания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ОПК-5.3)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настройка, тестирование и проверка работоспособности «Рубикон-К» (</w:t>
            </w:r>
            <w:r>
              <w:rPr>
                <w:rFonts w:eastAsia="Calibri" w:cs="Times New Roman" w:ascii="Times New Roman" w:hAnsi="Times New Roman"/>
                <w:i/>
                <w:color w:val="auto"/>
                <w:kern w:val="0"/>
                <w:sz w:val="18"/>
                <w:szCs w:val="18"/>
                <w:lang w:val="ru-RU" w:eastAsia="ru-RU" w:bidi="ar-SA"/>
              </w:rPr>
              <w:t>ОПК-7.1, ОПК-7.2, ОПК-7.3)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анализ и сравнению «Рубикон-К» с межсетевым экраном нового поколения «Usergate».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24.05.2024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auto"/>
                <w:kern w:val="0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компьютерных систем ФИТ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 xml:space="preserve">2024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«5» </w:t>
      </w:r>
      <w:r>
        <w:rPr>
          <w:rFonts w:eastAsia="Calibri" w:cs="Times New Roman" w:ascii="Times New Roman" w:hAnsi="Times New Roman"/>
          <w:sz w:val="22"/>
          <w:szCs w:val="22"/>
          <w:u w:val="none"/>
          <w:lang w:eastAsia="ru-RU"/>
        </w:rPr>
        <w:t>февраля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 2024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НГУ: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 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 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Кондренко К.П.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/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2</Pages>
  <Words>450</Words>
  <Characters>3629</Characters>
  <CharactersWithSpaces>4498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en-GB</dc:language>
  <cp:lastModifiedBy/>
  <dcterms:modified xsi:type="dcterms:W3CDTF">2024-02-12T14:22:56Z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