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特检院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1111110011904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sydd L1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曳引驱动乘客电梯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5层5站5门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13123456782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1111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维保期：04/04/2019 ～ 04/04/2019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2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9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27/03/2019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27/03/2019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≤无此项m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nbtjy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3EA92D1B"/>
    <w:rsid w:val="6EFFBFD5"/>
    <w:rsid w:val="7F7AF8DA"/>
    <w:rsid w:val="BFEBAF0E"/>
    <w:rsid w:val="E9F7CF20"/>
    <w:rsid w:val="EFB7CDA2"/>
    <w:rsid w:val="EFFDD5E4"/>
    <w:rsid w:val="F7A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link w:val="15"/>
    <w:uiPriority w:val="0"/>
    <w:rPr>
      <w:b/>
      <w:bCs/>
    </w:rPr>
  </w:style>
  <w:style w:type="character" w:styleId="11">
    <w:name w:val="annotation reference"/>
    <w:uiPriority w:val="0"/>
    <w:rPr>
      <w:sz w:val="21"/>
    </w:rPr>
  </w:style>
  <w:style w:type="character" w:customStyle="1" w:styleId="12">
    <w:name w:val="页眉 Char"/>
    <w:link w:val="6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5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4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2019-03-29T06:52:00Z</dcterms:created>
  <dc:creator>User</dc:creator>
  <cp:lastModifiedBy>shikeyi627@163.com</cp:lastModifiedBy>
  <cp:lastPrinted>2017-09-21T06:27:00Z</cp:lastPrinted>
  <dcterms:modified xsi:type="dcterms:W3CDTF">2019-04-17T22:09:43Z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