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userEntityName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{{reportID}}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locationOfUse</w:t>
            </w:r>
            <w:r>
              <w:rPr>
                <w:rFonts w:hint="eastAsia"/>
                <w:sz w:val="18"/>
                <w:szCs w:val="21"/>
              </w:rPr>
              <w:t>}} {{</w:t>
            </w:r>
            <w:r>
              <w:rPr>
                <w:sz w:val="18"/>
                <w:szCs w:val="21"/>
              </w:rPr>
              <w:t>numberOfUse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userEntityCode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deviceName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idCode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{{</w:t>
            </w:r>
            <w:r>
              <w:rPr>
                <w:rFonts w:cs="宋体"/>
                <w:sz w:val="18"/>
                <w:szCs w:val="21"/>
              </w:rPr>
              <w:t>model</w:t>
            </w:r>
            <w:r>
              <w:rPr>
                <w:rFonts w:hint="eastAsia" w:cs="宋体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controlMode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{{</w:t>
            </w:r>
            <w:r>
              <w:rPr>
                <w:rFonts w:cs="宋体"/>
                <w:sz w:val="18"/>
                <w:szCs w:val="21"/>
              </w:rPr>
              <w:t>manufactureCompany</w:t>
            </w:r>
            <w:r>
              <w:rPr>
                <w:rFonts w:hint="eastAsia" w:cs="宋体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factoryNumber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rSpeed</w:t>
            </w:r>
            <w:r>
              <w:rPr>
                <w:rFonts w:hint="eastAsia"/>
                <w:sz w:val="18"/>
                <w:szCs w:val="21"/>
              </w:rPr>
              <w:t>}}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rLoad</w:t>
            </w:r>
            <w:r>
              <w:rPr>
                <w:rFonts w:hint="eastAsia"/>
                <w:sz w:val="18"/>
                <w:szCs w:val="21"/>
              </w:rPr>
              <w:t>}}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fN</w:t>
            </w:r>
            <w:r>
              <w:rPr>
                <w:rFonts w:hint="eastAsia"/>
                <w:sz w:val="18"/>
                <w:szCs w:val="21"/>
              </w:rPr>
              <w:t>}}层{{s</w:t>
            </w:r>
            <w:r>
              <w:rPr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}}站{{d</w:t>
            </w:r>
            <w:r>
              <w:rPr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}}门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{{saM}}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证号：{{</w:t>
            </w:r>
            <w:r>
              <w:rPr>
                <w:sz w:val="18"/>
                <w:szCs w:val="21"/>
              </w:rPr>
              <w:t>safetyManagerCertificate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contactPerson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{{liA}}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证号：{{</w:t>
            </w:r>
            <w:r>
              <w:rPr>
                <w:sz w:val="18"/>
                <w:szCs w:val="21"/>
              </w:rPr>
              <w:t>liftAttendantCertificate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{{</w:t>
            </w:r>
            <w:r>
              <w:rPr>
                <w:sz w:val="18"/>
                <w:szCs w:val="21"/>
              </w:rPr>
              <w:t>contactNumber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{{</w:t>
            </w:r>
            <w:r>
              <w:rPr>
                <w:sz w:val="18"/>
                <w:szCs w:val="21"/>
              </w:rPr>
              <w:t>maintenanceContractNumber</w:t>
            </w:r>
            <w:r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维保期：{{mSDate}} ～ {{mEDate}}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manualOperateR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emEOperateR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doorBypassR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doorLoopDetectR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brakeFProtectR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autoRescuerR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{{</w:t>
            </w:r>
            <w:r>
              <w:rPr>
                <w:rFonts w:hAnsi="宋体"/>
                <w:bCs/>
                <w:sz w:val="18"/>
                <w:szCs w:val="18"/>
              </w:rPr>
              <w:t>governorManufactureDateR</w:t>
            </w:r>
            <w:r>
              <w:rPr>
                <w:rFonts w:hint="eastAsia" w:hAnsi="宋体"/>
                <w:bCs/>
                <w:sz w:val="18"/>
                <w:szCs w:val="18"/>
              </w:rPr>
              <w:t>}}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{{governorCheckDate</w:t>
            </w:r>
            <w:r>
              <w:rPr>
                <w:rFonts w:hint="default" w:hAnsi="宋体"/>
                <w:bCs/>
                <w:snapToGrid w:val="0"/>
                <w:kern w:val="0"/>
                <w:sz w:val="16"/>
                <w:szCs w:val="16"/>
              </w:rPr>
              <w:t>R</w:t>
            </w: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}}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{{governorSpeed</w:t>
            </w:r>
            <w:r>
              <w:rPr>
                <w:rFonts w:hint="default" w:hAnsi="宋体"/>
                <w:bCs/>
                <w:snapToGrid w:val="0"/>
                <w:kern w:val="0"/>
                <w:sz w:val="16"/>
                <w:szCs w:val="16"/>
              </w:rPr>
              <w:t>R</w:t>
            </w: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}}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wellSafetyDoorR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wellAccessDoorR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≤{{</w:t>
            </w:r>
            <w:r>
              <w:rPr>
                <w:bCs/>
                <w:sz w:val="18"/>
                <w:szCs w:val="18"/>
              </w:rPr>
              <w:t>carWellCleR</w:t>
            </w:r>
            <w:r>
              <w:rPr>
                <w:rFonts w:hint="eastAsia"/>
                <w:bCs/>
                <w:sz w:val="18"/>
                <w:szCs w:val="18"/>
              </w:rPr>
              <w:t>}}m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carWellCle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bufferType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cwOvDisR</w:t>
            </w:r>
            <w:r>
              <w:rPr>
                <w:rFonts w:hint="eastAsia"/>
                <w:bCs/>
                <w:sz w:val="18"/>
                <w:szCs w:val="18"/>
              </w:rPr>
              <w:t>}}mm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safetyWindow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safetyWindowC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carOverArea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carOverAreaC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overloadProtect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overloadProtectC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compensateChain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compensateChain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compSwitch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compRebound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ropeCreep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ropeCreep</w:t>
            </w:r>
            <w:r>
              <w:rPr>
                <w:rFonts w:hint="eastAsia"/>
                <w:bCs/>
                <w:sz w:val="18"/>
                <w:szCs w:val="1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glassDoor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glassDoorC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{{doorAntiClampR}}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{{doorAntiClamp</w:t>
            </w:r>
            <w:r>
              <w:rPr>
                <w:rFonts w:hint="default"/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{{autoDoorCloseR}}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{{autoDoorCloseC}}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{{carDoorLock</w:t>
            </w:r>
            <w:r>
              <w:rPr>
                <w:rFonts w:hint="default"/>
                <w:bCs/>
                <w:sz w:val="18"/>
                <w:szCs w:val="18"/>
              </w:rPr>
              <w:t>R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carDoorRestrOp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ascendOverspeed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ascendOverspeedC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{{ucmpR}}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</w:t>
            </w:r>
            <w:r>
              <w:rPr>
                <w:rFonts w:hint="default"/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{{ucmpSelfDetectR}}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cwSaftyGear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cwSaftyGearC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brakeTest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brakeTestC</w:t>
            </w:r>
            <w:r>
              <w:rPr>
                <w:rFonts w:hint="eastAsia"/>
                <w:bCs/>
                <w:sz w:val="18"/>
                <w:szCs w:val="18"/>
              </w:rPr>
              <w:t>}}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{{ maintenanceCompany}}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