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6543" w:rsidRDefault="00EE47E5">
      <w:r>
        <w:t>Houston is provided month the EIA option values (noted in red):</w:t>
      </w:r>
    </w:p>
    <w:p w:rsidR="00EE47E5" w:rsidRDefault="00EE47E5">
      <w:r>
        <w:rPr>
          <w:noProof/>
        </w:rPr>
        <w:drawing>
          <wp:inline distT="0" distB="0" distL="0" distR="0" wp14:anchorId="4F9E4F67" wp14:editId="3A166944">
            <wp:extent cx="5943600" cy="35744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574415"/>
                    </a:xfrm>
                    <a:prstGeom prst="rect">
                      <a:avLst/>
                    </a:prstGeom>
                  </pic:spPr>
                </pic:pic>
              </a:graphicData>
            </a:graphic>
          </wp:inline>
        </w:drawing>
      </w:r>
    </w:p>
    <w:p w:rsidR="00F563C6" w:rsidRDefault="00F563C6" w:rsidP="00F563C6"/>
    <w:p w:rsidR="00F563C6" w:rsidRDefault="00F563C6" w:rsidP="00F563C6"/>
    <w:p w:rsidR="00F563C6" w:rsidRDefault="00F563C6" w:rsidP="00F563C6"/>
    <w:p w:rsidR="00F563C6" w:rsidRDefault="00F563C6" w:rsidP="00F563C6"/>
    <w:p w:rsidR="00F563C6" w:rsidRDefault="00F563C6" w:rsidP="00F563C6"/>
    <w:p w:rsidR="00F563C6" w:rsidRDefault="00F563C6" w:rsidP="00F563C6"/>
    <w:p w:rsidR="00F563C6" w:rsidRDefault="00F563C6" w:rsidP="00F563C6"/>
    <w:p w:rsidR="00F563C6" w:rsidRDefault="00F563C6" w:rsidP="00F563C6"/>
    <w:p w:rsidR="00F563C6" w:rsidRDefault="00F563C6" w:rsidP="00F563C6"/>
    <w:p w:rsidR="00F563C6" w:rsidRDefault="00F563C6" w:rsidP="00F563C6"/>
    <w:p w:rsidR="00F563C6" w:rsidRDefault="00F563C6" w:rsidP="00F563C6"/>
    <w:p w:rsidR="00F563C6" w:rsidRDefault="00F563C6" w:rsidP="00F563C6"/>
    <w:p w:rsidR="00F563C6" w:rsidRDefault="00F563C6" w:rsidP="00F563C6">
      <w:r>
        <w:lastRenderedPageBreak/>
        <w:t xml:space="preserve">There are 2 inputs to the EIA option value:  1) </w:t>
      </w:r>
      <w:proofErr w:type="spellStart"/>
      <w:r>
        <w:t>Matlab</w:t>
      </w:r>
      <w:proofErr w:type="spellEnd"/>
      <w:r>
        <w:t xml:space="preserve"> results file for liability valuation data for IA P2P and IA </w:t>
      </w:r>
      <w:proofErr w:type="spellStart"/>
      <w:r>
        <w:t>Cliquet</w:t>
      </w:r>
      <w:proofErr w:type="spellEnd"/>
      <w:r>
        <w:t>, 2) JAVAH – SI 1100 File</w:t>
      </w:r>
    </w:p>
    <w:p w:rsidR="00F563C6" w:rsidRDefault="00F563C6" w:rsidP="00F563C6">
      <w:r>
        <w:rPr>
          <w:noProof/>
        </w:rPr>
        <w:drawing>
          <wp:inline distT="0" distB="0" distL="0" distR="0" wp14:anchorId="1570E23C" wp14:editId="28959F4E">
            <wp:extent cx="5943600" cy="38068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806825"/>
                    </a:xfrm>
                    <a:prstGeom prst="rect">
                      <a:avLst/>
                    </a:prstGeom>
                  </pic:spPr>
                </pic:pic>
              </a:graphicData>
            </a:graphic>
          </wp:inline>
        </w:drawing>
      </w:r>
    </w:p>
    <w:p w:rsidR="00F563C6" w:rsidRDefault="00F563C6" w:rsidP="00F563C6"/>
    <w:p w:rsidR="00F563C6" w:rsidRDefault="00F563C6" w:rsidP="00F563C6"/>
    <w:p w:rsidR="00F563C6" w:rsidRDefault="00F563C6" w:rsidP="00F563C6"/>
    <w:p w:rsidR="00F563C6" w:rsidRDefault="00F563C6" w:rsidP="00F563C6"/>
    <w:p w:rsidR="00F563C6" w:rsidRDefault="00F563C6" w:rsidP="00F563C6"/>
    <w:p w:rsidR="00F563C6" w:rsidRDefault="00F563C6" w:rsidP="00F563C6"/>
    <w:p w:rsidR="00F563C6" w:rsidRDefault="00F563C6" w:rsidP="00F563C6"/>
    <w:p w:rsidR="00F563C6" w:rsidRDefault="00F563C6" w:rsidP="00F563C6"/>
    <w:p w:rsidR="00F563C6" w:rsidRDefault="00F563C6" w:rsidP="00F563C6"/>
    <w:p w:rsidR="00F563C6" w:rsidRDefault="00F563C6" w:rsidP="00F563C6"/>
    <w:p w:rsidR="00F563C6" w:rsidRDefault="00F563C6" w:rsidP="00F563C6"/>
    <w:p w:rsidR="00F563C6" w:rsidRDefault="00F563C6" w:rsidP="00F563C6"/>
    <w:p w:rsidR="00F563C6" w:rsidRDefault="00F563C6" w:rsidP="00F563C6">
      <w:r>
        <w:lastRenderedPageBreak/>
        <w:t>1) MATLAB INPUT (see edit link):</w:t>
      </w:r>
    </w:p>
    <w:p w:rsidR="00F563C6" w:rsidRDefault="00F563C6" w:rsidP="00F563C6"/>
    <w:p w:rsidR="00EE47E5" w:rsidRDefault="002F1AB5">
      <w:r>
        <w:rPr>
          <w:noProof/>
        </w:rPr>
        <w:drawing>
          <wp:inline distT="0" distB="0" distL="0" distR="0" wp14:anchorId="1BB6791F" wp14:editId="1B253A09">
            <wp:extent cx="5943600" cy="38068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806825"/>
                    </a:xfrm>
                    <a:prstGeom prst="rect">
                      <a:avLst/>
                    </a:prstGeom>
                  </pic:spPr>
                </pic:pic>
              </a:graphicData>
            </a:graphic>
          </wp:inline>
        </w:drawing>
      </w:r>
    </w:p>
    <w:p w:rsidR="00F563C6" w:rsidRDefault="00F563C6"/>
    <w:p w:rsidR="00F563C6" w:rsidRDefault="00F563C6"/>
    <w:p w:rsidR="00F563C6" w:rsidRDefault="00F563C6"/>
    <w:p w:rsidR="00F563C6" w:rsidRDefault="00F563C6"/>
    <w:p w:rsidR="00F563C6" w:rsidRDefault="00F563C6"/>
    <w:p w:rsidR="00F563C6" w:rsidRDefault="00F563C6"/>
    <w:p w:rsidR="00F563C6" w:rsidRDefault="00F563C6"/>
    <w:p w:rsidR="00F563C6" w:rsidRDefault="00F563C6"/>
    <w:p w:rsidR="00F563C6" w:rsidRDefault="00F563C6"/>
    <w:p w:rsidR="00F563C6" w:rsidRDefault="00F563C6"/>
    <w:p w:rsidR="00F563C6" w:rsidRDefault="00F563C6"/>
    <w:p w:rsidR="00F563C6" w:rsidRDefault="00F563C6">
      <w:r>
        <w:lastRenderedPageBreak/>
        <w:t>2</w:t>
      </w:r>
      <w:r>
        <w:t>) JAVAH – SI 1100 File</w:t>
      </w:r>
    </w:p>
    <w:p w:rsidR="00F563C6" w:rsidRDefault="00F563C6">
      <w:r>
        <w:rPr>
          <w:noProof/>
        </w:rPr>
        <w:drawing>
          <wp:inline distT="0" distB="0" distL="0" distR="0" wp14:anchorId="67AFDEB5" wp14:editId="72E4D334">
            <wp:extent cx="5943600" cy="39344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934460"/>
                    </a:xfrm>
                    <a:prstGeom prst="rect">
                      <a:avLst/>
                    </a:prstGeom>
                  </pic:spPr>
                </pic:pic>
              </a:graphicData>
            </a:graphic>
          </wp:inline>
        </w:drawing>
      </w:r>
    </w:p>
    <w:p w:rsidR="00F563C6" w:rsidRDefault="00F563C6">
      <w:r>
        <w:rPr>
          <w:noProof/>
        </w:rPr>
        <w:lastRenderedPageBreak/>
        <w:drawing>
          <wp:inline distT="0" distB="0" distL="0" distR="0" wp14:anchorId="4028D07A" wp14:editId="374B2B3F">
            <wp:extent cx="5943600" cy="50057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5005705"/>
                    </a:xfrm>
                    <a:prstGeom prst="rect">
                      <a:avLst/>
                    </a:prstGeom>
                  </pic:spPr>
                </pic:pic>
              </a:graphicData>
            </a:graphic>
          </wp:inline>
        </w:drawing>
      </w:r>
    </w:p>
    <w:p w:rsidR="00F563C6" w:rsidRDefault="00F563C6"/>
    <w:p w:rsidR="00F563C6" w:rsidRDefault="00F563C6"/>
    <w:p w:rsidR="002F1AB5" w:rsidRDefault="002F1AB5"/>
    <w:p w:rsidR="00700CA5" w:rsidRDefault="00700CA5"/>
    <w:p w:rsidR="00B4629A" w:rsidRDefault="00B4629A"/>
    <w:p w:rsidR="00B4629A" w:rsidRDefault="00B4629A"/>
    <w:p w:rsidR="00B4629A" w:rsidRDefault="00B4629A"/>
    <w:p w:rsidR="00B4629A" w:rsidRDefault="00B4629A"/>
    <w:p w:rsidR="00B4629A" w:rsidRDefault="00B4629A"/>
    <w:p w:rsidR="00B4629A" w:rsidRDefault="00B4629A">
      <w:r>
        <w:lastRenderedPageBreak/>
        <w:t>The bottom half of the spreadsheet in the AGL EIA Summary (row 154 &amp; 155) comes from EDW:</w:t>
      </w:r>
    </w:p>
    <w:p w:rsidR="00B4629A" w:rsidRDefault="00B4629A">
      <w:r>
        <w:rPr>
          <w:noProof/>
        </w:rPr>
        <w:drawing>
          <wp:inline distT="0" distB="0" distL="0" distR="0" wp14:anchorId="38623670" wp14:editId="69FF9F83">
            <wp:extent cx="5943600" cy="38068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806825"/>
                    </a:xfrm>
                    <a:prstGeom prst="rect">
                      <a:avLst/>
                    </a:prstGeom>
                  </pic:spPr>
                </pic:pic>
              </a:graphicData>
            </a:graphic>
          </wp:inline>
        </w:drawing>
      </w:r>
    </w:p>
    <w:p w:rsidR="00B4629A" w:rsidRDefault="00B4629A"/>
    <w:p w:rsidR="00B4629A" w:rsidRDefault="00B4629A"/>
    <w:p w:rsidR="00B4629A" w:rsidRDefault="00B4629A"/>
    <w:p w:rsidR="00B4629A" w:rsidRDefault="00B4629A"/>
    <w:p w:rsidR="00B4629A" w:rsidRDefault="00B4629A"/>
    <w:p w:rsidR="00B4629A" w:rsidRDefault="00B4629A"/>
    <w:p w:rsidR="00B4629A" w:rsidRDefault="00B4629A"/>
    <w:p w:rsidR="00B4629A" w:rsidRDefault="00B4629A"/>
    <w:p w:rsidR="00B4629A" w:rsidRDefault="00B4629A"/>
    <w:p w:rsidR="00B4629A" w:rsidRDefault="00B4629A"/>
    <w:p w:rsidR="00B4629A" w:rsidRDefault="00B4629A"/>
    <w:p w:rsidR="00B4629A" w:rsidRDefault="00B4629A"/>
    <w:p w:rsidR="00B4629A" w:rsidRDefault="00B4629A">
      <w:r>
        <w:lastRenderedPageBreak/>
        <w:t>Non-</w:t>
      </w:r>
      <w:proofErr w:type="gramStart"/>
      <w:r>
        <w:t>EDW  Values</w:t>
      </w:r>
      <w:proofErr w:type="gramEnd"/>
      <w:r>
        <w:t xml:space="preserve"> (Jeffrey to confirm where the source is coming from):</w:t>
      </w:r>
    </w:p>
    <w:p w:rsidR="00B4629A" w:rsidRDefault="00B4629A">
      <w:r>
        <w:rPr>
          <w:noProof/>
        </w:rPr>
        <w:drawing>
          <wp:inline distT="0" distB="0" distL="0" distR="0" wp14:anchorId="2CC9D6E2" wp14:editId="31B34051">
            <wp:extent cx="5943600" cy="4834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834890"/>
                    </a:xfrm>
                    <a:prstGeom prst="rect">
                      <a:avLst/>
                    </a:prstGeom>
                  </pic:spPr>
                </pic:pic>
              </a:graphicData>
            </a:graphic>
          </wp:inline>
        </w:drawing>
      </w:r>
    </w:p>
    <w:p w:rsidR="00B4629A" w:rsidRDefault="00B4629A">
      <w:r>
        <w:t>EDW values:</w:t>
      </w:r>
    </w:p>
    <w:p w:rsidR="00B4629A" w:rsidRDefault="0048647A">
      <w:r>
        <w:rPr>
          <w:noProof/>
        </w:rPr>
        <w:lastRenderedPageBreak/>
        <w:drawing>
          <wp:inline distT="0" distB="0" distL="0" distR="0" wp14:anchorId="2DC5BBAC" wp14:editId="2181039B">
            <wp:extent cx="5943600" cy="48348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834890"/>
                    </a:xfrm>
                    <a:prstGeom prst="rect">
                      <a:avLst/>
                    </a:prstGeom>
                  </pic:spPr>
                </pic:pic>
              </a:graphicData>
            </a:graphic>
          </wp:inline>
        </w:drawing>
      </w:r>
    </w:p>
    <w:p w:rsidR="0048647A" w:rsidRDefault="0048647A">
      <w:r>
        <w:rPr>
          <w:noProof/>
        </w:rPr>
        <w:lastRenderedPageBreak/>
        <w:drawing>
          <wp:inline distT="0" distB="0" distL="0" distR="0" wp14:anchorId="30BCA9CC" wp14:editId="09EA83D0">
            <wp:extent cx="5859780" cy="82296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59780" cy="8229600"/>
                    </a:xfrm>
                    <a:prstGeom prst="rect">
                      <a:avLst/>
                    </a:prstGeom>
                  </pic:spPr>
                </pic:pic>
              </a:graphicData>
            </a:graphic>
          </wp:inline>
        </w:drawing>
      </w:r>
    </w:p>
    <w:p w:rsidR="0048647A" w:rsidRDefault="0048647A">
      <w:r>
        <w:rPr>
          <w:noProof/>
        </w:rPr>
        <w:lastRenderedPageBreak/>
        <w:drawing>
          <wp:inline distT="0" distB="0" distL="0" distR="0" wp14:anchorId="7D36AC7C" wp14:editId="24C4EAF3">
            <wp:extent cx="5128260" cy="822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28260" cy="8229600"/>
                    </a:xfrm>
                    <a:prstGeom prst="rect">
                      <a:avLst/>
                    </a:prstGeom>
                  </pic:spPr>
                </pic:pic>
              </a:graphicData>
            </a:graphic>
          </wp:inline>
        </w:drawing>
      </w:r>
    </w:p>
    <w:p w:rsidR="0048647A" w:rsidRDefault="0048647A">
      <w:r>
        <w:lastRenderedPageBreak/>
        <w:t>The 2 screenshots noted above come from the below file (this file is generated by the MRM database and saved here:</w:t>
      </w:r>
    </w:p>
    <w:p w:rsidR="0048647A" w:rsidRDefault="0048647A">
      <w:r>
        <w:rPr>
          <w:noProof/>
        </w:rPr>
        <w:drawing>
          <wp:inline distT="0" distB="0" distL="0" distR="0" wp14:anchorId="759762DE" wp14:editId="17FBB5B6">
            <wp:extent cx="5943600" cy="36379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637915"/>
                    </a:xfrm>
                    <a:prstGeom prst="rect">
                      <a:avLst/>
                    </a:prstGeom>
                  </pic:spPr>
                </pic:pic>
              </a:graphicData>
            </a:graphic>
          </wp:inline>
        </w:drawing>
      </w:r>
    </w:p>
    <w:p w:rsidR="0048647A" w:rsidRDefault="0048647A"/>
    <w:p w:rsidR="0048647A" w:rsidRDefault="0048647A"/>
    <w:p w:rsidR="0048647A" w:rsidRDefault="0048647A"/>
    <w:p w:rsidR="0048647A" w:rsidRDefault="0048647A"/>
    <w:p w:rsidR="0048647A" w:rsidRDefault="0048647A"/>
    <w:p w:rsidR="0048647A" w:rsidRDefault="0048647A"/>
    <w:p w:rsidR="0048647A" w:rsidRDefault="0048647A"/>
    <w:p w:rsidR="0048647A" w:rsidRDefault="0048647A"/>
    <w:p w:rsidR="0048647A" w:rsidRDefault="0048647A"/>
    <w:p w:rsidR="0048647A" w:rsidRDefault="0048647A"/>
    <w:p w:rsidR="0048647A" w:rsidRDefault="0048647A"/>
    <w:p w:rsidR="0048647A" w:rsidRDefault="0048647A"/>
    <w:p w:rsidR="0048647A" w:rsidRDefault="0048647A">
      <w:r>
        <w:lastRenderedPageBreak/>
        <w:t>This is the file:</w:t>
      </w:r>
    </w:p>
    <w:p w:rsidR="0048647A" w:rsidRDefault="0048647A">
      <w:r>
        <w:rPr>
          <w:noProof/>
        </w:rPr>
        <w:drawing>
          <wp:inline distT="0" distB="0" distL="0" distR="0" wp14:anchorId="14B56DC8" wp14:editId="242DDF5A">
            <wp:extent cx="5943600" cy="66440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6644005"/>
                    </a:xfrm>
                    <a:prstGeom prst="rect">
                      <a:avLst/>
                    </a:prstGeom>
                  </pic:spPr>
                </pic:pic>
              </a:graphicData>
            </a:graphic>
          </wp:inline>
        </w:drawing>
      </w:r>
    </w:p>
    <w:p w:rsidR="0071550E" w:rsidRDefault="0071550E"/>
    <w:p w:rsidR="0071550E" w:rsidRDefault="0071550E"/>
    <w:p w:rsidR="0071550E" w:rsidRDefault="0071550E"/>
    <w:p w:rsidR="0071550E" w:rsidRDefault="0071550E">
      <w:r>
        <w:lastRenderedPageBreak/>
        <w:t>Note – Rainbow Options are static hedged which means the fund value is supposed to mirror the notional of the option bought for hedge.  The fund value is driven by policy holder data.</w:t>
      </w:r>
    </w:p>
    <w:p w:rsidR="00303997" w:rsidRDefault="00303997">
      <w:r>
        <w:t>Emmanuel is reviewing the notional for the following and comparing it to the prior month for reasonableness – Need to define reasonableness. (</w:t>
      </w:r>
      <w:proofErr w:type="gramStart"/>
      <w:r>
        <w:t>see</w:t>
      </w:r>
      <w:proofErr w:type="gramEnd"/>
      <w:r>
        <w:t xml:space="preserve"> print screen below):</w:t>
      </w:r>
    </w:p>
    <w:tbl>
      <w:tblPr>
        <w:tblW w:w="1240" w:type="dxa"/>
        <w:tblCellMar>
          <w:left w:w="0" w:type="dxa"/>
          <w:right w:w="0" w:type="dxa"/>
        </w:tblCellMar>
        <w:tblLook w:val="04A0" w:firstRow="1" w:lastRow="0" w:firstColumn="1" w:lastColumn="0" w:noHBand="0" w:noVBand="1"/>
      </w:tblPr>
      <w:tblGrid>
        <w:gridCol w:w="4296"/>
      </w:tblGrid>
      <w:tr w:rsidR="00303997" w:rsidTr="00303997">
        <w:trPr>
          <w:trHeight w:val="300"/>
        </w:trPr>
        <w:tc>
          <w:tcPr>
            <w:tcW w:w="1240" w:type="dxa"/>
            <w:tcBorders>
              <w:top w:val="nil"/>
              <w:left w:val="nil"/>
              <w:bottom w:val="nil"/>
              <w:right w:val="nil"/>
            </w:tcBorders>
            <w:shd w:val="clear" w:color="auto" w:fill="auto"/>
            <w:noWrap/>
            <w:tcMar>
              <w:top w:w="15" w:type="dxa"/>
              <w:left w:w="15" w:type="dxa"/>
              <w:bottom w:w="0" w:type="dxa"/>
              <w:right w:w="15" w:type="dxa"/>
            </w:tcMar>
            <w:vAlign w:val="bottom"/>
            <w:hideMark/>
          </w:tcPr>
          <w:p w:rsidR="00303997" w:rsidRPr="00303997" w:rsidRDefault="00303997" w:rsidP="00303997">
            <w:pPr>
              <w:pStyle w:val="ListParagraph"/>
              <w:numPr>
                <w:ilvl w:val="0"/>
                <w:numId w:val="3"/>
              </w:numPr>
              <w:rPr>
                <w:rFonts w:ascii="Calibri" w:hAnsi="Calibri" w:cs="Calibri"/>
                <w:color w:val="000000"/>
              </w:rPr>
            </w:pPr>
            <w:r w:rsidRPr="00303997">
              <w:rPr>
                <w:rFonts w:ascii="Calibri" w:hAnsi="Calibri" w:cs="Calibri"/>
                <w:color w:val="000000"/>
              </w:rPr>
              <w:t xml:space="preserve">1yr da </w:t>
            </w:r>
            <w:proofErr w:type="spellStart"/>
            <w:r w:rsidRPr="00303997">
              <w:rPr>
                <w:rFonts w:ascii="Calibri" w:hAnsi="Calibri" w:cs="Calibri"/>
                <w:color w:val="000000"/>
              </w:rPr>
              <w:t>cs</w:t>
            </w:r>
            <w:proofErr w:type="spellEnd"/>
            <w:r>
              <w:rPr>
                <w:rFonts w:ascii="Calibri" w:hAnsi="Calibri" w:cs="Calibri"/>
                <w:color w:val="000000"/>
              </w:rPr>
              <w:t xml:space="preserve"> – </w:t>
            </w:r>
            <w:proofErr w:type="spellStart"/>
            <w:r>
              <w:rPr>
                <w:rFonts w:ascii="Calibri" w:hAnsi="Calibri" w:cs="Calibri"/>
                <w:color w:val="000000"/>
              </w:rPr>
              <w:t>deffered</w:t>
            </w:r>
            <w:proofErr w:type="spellEnd"/>
            <w:r>
              <w:rPr>
                <w:rFonts w:ascii="Calibri" w:hAnsi="Calibri" w:cs="Calibri"/>
                <w:color w:val="000000"/>
              </w:rPr>
              <w:t xml:space="preserve"> annuity call spread</w:t>
            </w:r>
          </w:p>
        </w:tc>
      </w:tr>
      <w:tr w:rsidR="00303997" w:rsidTr="00303997">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3997" w:rsidRPr="00303997" w:rsidRDefault="00303997" w:rsidP="00303997">
            <w:pPr>
              <w:pStyle w:val="ListParagraph"/>
              <w:numPr>
                <w:ilvl w:val="0"/>
                <w:numId w:val="3"/>
              </w:numPr>
              <w:rPr>
                <w:rFonts w:ascii="Calibri" w:hAnsi="Calibri" w:cs="Calibri"/>
                <w:color w:val="000000"/>
              </w:rPr>
            </w:pPr>
            <w:r w:rsidRPr="00303997">
              <w:rPr>
                <w:rFonts w:ascii="Calibri" w:hAnsi="Calibri" w:cs="Calibri"/>
                <w:color w:val="000000"/>
              </w:rPr>
              <w:t xml:space="preserve">2yr </w:t>
            </w:r>
            <w:proofErr w:type="spellStart"/>
            <w:r w:rsidRPr="00303997">
              <w:rPr>
                <w:rFonts w:ascii="Calibri" w:hAnsi="Calibri" w:cs="Calibri"/>
                <w:color w:val="000000"/>
              </w:rPr>
              <w:t>ptp</w:t>
            </w:r>
            <w:proofErr w:type="spellEnd"/>
            <w:r>
              <w:rPr>
                <w:rFonts w:ascii="Calibri" w:hAnsi="Calibri" w:cs="Calibri"/>
                <w:color w:val="000000"/>
              </w:rPr>
              <w:t xml:space="preserve"> – call spread</w:t>
            </w:r>
          </w:p>
        </w:tc>
      </w:tr>
      <w:tr w:rsidR="00303997" w:rsidTr="00303997">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3997" w:rsidRPr="00303997" w:rsidRDefault="00303997" w:rsidP="00303997">
            <w:pPr>
              <w:pStyle w:val="ListParagraph"/>
              <w:numPr>
                <w:ilvl w:val="0"/>
                <w:numId w:val="3"/>
              </w:numPr>
              <w:rPr>
                <w:rFonts w:ascii="Calibri" w:hAnsi="Calibri" w:cs="Calibri"/>
                <w:color w:val="000000"/>
              </w:rPr>
            </w:pPr>
            <w:r w:rsidRPr="00303997">
              <w:rPr>
                <w:rFonts w:ascii="Calibri" w:hAnsi="Calibri" w:cs="Calibri"/>
                <w:color w:val="000000"/>
              </w:rPr>
              <w:t xml:space="preserve">1yr </w:t>
            </w:r>
            <w:proofErr w:type="spellStart"/>
            <w:r w:rsidRPr="00303997">
              <w:rPr>
                <w:rFonts w:ascii="Calibri" w:hAnsi="Calibri" w:cs="Calibri"/>
                <w:color w:val="000000"/>
              </w:rPr>
              <w:t>mio</w:t>
            </w:r>
            <w:proofErr w:type="spellEnd"/>
            <w:r>
              <w:rPr>
                <w:rFonts w:ascii="Calibri" w:hAnsi="Calibri" w:cs="Calibri"/>
                <w:color w:val="000000"/>
              </w:rPr>
              <w:t xml:space="preserve"> – 1year rainbow call spread</w:t>
            </w:r>
          </w:p>
        </w:tc>
      </w:tr>
      <w:tr w:rsidR="00303997" w:rsidTr="00303997">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3997" w:rsidRPr="00303997" w:rsidRDefault="00303997" w:rsidP="00303997">
            <w:pPr>
              <w:pStyle w:val="ListParagraph"/>
              <w:numPr>
                <w:ilvl w:val="0"/>
                <w:numId w:val="3"/>
              </w:numPr>
              <w:rPr>
                <w:rFonts w:ascii="Calibri" w:hAnsi="Calibri" w:cs="Calibri"/>
                <w:color w:val="000000"/>
              </w:rPr>
            </w:pPr>
            <w:proofErr w:type="spellStart"/>
            <w:r w:rsidRPr="00303997">
              <w:rPr>
                <w:rFonts w:ascii="Calibri" w:hAnsi="Calibri" w:cs="Calibri"/>
                <w:color w:val="000000"/>
              </w:rPr>
              <w:t>C</w:t>
            </w:r>
            <w:r w:rsidRPr="00303997">
              <w:rPr>
                <w:rFonts w:ascii="Calibri" w:hAnsi="Calibri" w:cs="Calibri"/>
                <w:color w:val="000000"/>
              </w:rPr>
              <w:t>lique</w:t>
            </w:r>
            <w:r>
              <w:rPr>
                <w:rFonts w:ascii="Calibri" w:hAnsi="Calibri" w:cs="Calibri"/>
                <w:color w:val="000000"/>
              </w:rPr>
              <w:t>t</w:t>
            </w:r>
            <w:proofErr w:type="spellEnd"/>
            <w:r>
              <w:rPr>
                <w:rFonts w:ascii="Calibri" w:hAnsi="Calibri" w:cs="Calibri"/>
                <w:color w:val="000000"/>
              </w:rPr>
              <w:t xml:space="preserve"> – Monthly sum cap</w:t>
            </w:r>
          </w:p>
        </w:tc>
      </w:tr>
    </w:tbl>
    <w:p w:rsidR="00303997" w:rsidRDefault="00303997">
      <w:r>
        <w:t xml:space="preserve"> </w:t>
      </w:r>
      <w:r>
        <w:rPr>
          <w:noProof/>
        </w:rPr>
        <w:drawing>
          <wp:inline distT="0" distB="0" distL="0" distR="0" wp14:anchorId="1F3B583D" wp14:editId="73F4DF33">
            <wp:extent cx="5943600" cy="40690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069080"/>
                    </a:xfrm>
                    <a:prstGeom prst="rect">
                      <a:avLst/>
                    </a:prstGeom>
                  </pic:spPr>
                </pic:pic>
              </a:graphicData>
            </a:graphic>
          </wp:inline>
        </w:drawing>
      </w:r>
    </w:p>
    <w:p w:rsidR="008B11A1" w:rsidRDefault="008B11A1"/>
    <w:p w:rsidR="008B11A1" w:rsidRDefault="008B11A1"/>
    <w:p w:rsidR="008B11A1" w:rsidRDefault="008B11A1"/>
    <w:p w:rsidR="008B11A1" w:rsidRDefault="008B11A1"/>
    <w:p w:rsidR="00303997" w:rsidRDefault="008B11A1">
      <w:r>
        <w:lastRenderedPageBreak/>
        <w:t>Emmanuel is also reviewing the rainbow notional to make sure any new options bought are included in the total notional:</w:t>
      </w:r>
    </w:p>
    <w:p w:rsidR="008B11A1" w:rsidRDefault="008B11A1">
      <w:r>
        <w:rPr>
          <w:noProof/>
        </w:rPr>
        <w:drawing>
          <wp:inline distT="0" distB="0" distL="0" distR="0" wp14:anchorId="6C3B1047" wp14:editId="774530BF">
            <wp:extent cx="5943600" cy="3300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0095"/>
                    </a:xfrm>
                    <a:prstGeom prst="rect">
                      <a:avLst/>
                    </a:prstGeom>
                  </pic:spPr>
                </pic:pic>
              </a:graphicData>
            </a:graphic>
          </wp:inline>
        </w:drawing>
      </w:r>
    </w:p>
    <w:p w:rsidR="008B11A1" w:rsidRDefault="008B11A1"/>
    <w:p w:rsidR="008B11A1" w:rsidRDefault="008B11A1"/>
    <w:p w:rsidR="008B11A1" w:rsidRDefault="008B11A1"/>
    <w:p w:rsidR="008B11A1" w:rsidRDefault="008B11A1"/>
    <w:p w:rsidR="008B11A1" w:rsidRDefault="008B11A1"/>
    <w:p w:rsidR="008B11A1" w:rsidRDefault="008B11A1"/>
    <w:p w:rsidR="008B11A1" w:rsidRDefault="008B11A1"/>
    <w:p w:rsidR="008B11A1" w:rsidRDefault="008B11A1"/>
    <w:p w:rsidR="008B11A1" w:rsidRDefault="008B11A1"/>
    <w:p w:rsidR="008B11A1" w:rsidRDefault="008B11A1"/>
    <w:p w:rsidR="008B11A1" w:rsidRDefault="008B11A1"/>
    <w:p w:rsidR="008B11A1" w:rsidRDefault="008B11A1"/>
    <w:p w:rsidR="008B11A1" w:rsidRDefault="008B11A1"/>
    <w:p w:rsidR="008B11A1" w:rsidRDefault="008B11A1">
      <w:r>
        <w:lastRenderedPageBreak/>
        <w:t>This is a listing of Rainbow option inventory.  As the options expire, it is removed from the list/indicator built in the formula (expired = 0).</w:t>
      </w:r>
      <w:r w:rsidR="002A78F7">
        <w:t xml:space="preserve">  Similarly, if new options are bought it is added to the below list:</w:t>
      </w:r>
    </w:p>
    <w:p w:rsidR="008B11A1" w:rsidRDefault="008B11A1">
      <w:r>
        <w:rPr>
          <w:noProof/>
        </w:rPr>
        <w:drawing>
          <wp:inline distT="0" distB="0" distL="0" distR="0" wp14:anchorId="73560595" wp14:editId="00ECBC44">
            <wp:extent cx="5943600" cy="50507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5050790"/>
                    </a:xfrm>
                    <a:prstGeom prst="rect">
                      <a:avLst/>
                    </a:prstGeom>
                  </pic:spPr>
                </pic:pic>
              </a:graphicData>
            </a:graphic>
          </wp:inline>
        </w:drawing>
      </w:r>
      <w:bookmarkStart w:id="0" w:name="_GoBack"/>
      <w:bookmarkEnd w:id="0"/>
    </w:p>
    <w:p w:rsidR="00042016" w:rsidRDefault="00042016">
      <w:r>
        <w:rPr>
          <w:noProof/>
        </w:rPr>
        <w:lastRenderedPageBreak/>
        <w:drawing>
          <wp:inline distT="0" distB="0" distL="0" distR="0" wp14:anchorId="14E1D7D7" wp14:editId="1C596892">
            <wp:extent cx="5943600" cy="40144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014470"/>
                    </a:xfrm>
                    <a:prstGeom prst="rect">
                      <a:avLst/>
                    </a:prstGeom>
                  </pic:spPr>
                </pic:pic>
              </a:graphicData>
            </a:graphic>
          </wp:inline>
        </w:drawing>
      </w:r>
    </w:p>
    <w:p w:rsidR="00303997" w:rsidRDefault="00303997"/>
    <w:p w:rsidR="00303997" w:rsidRDefault="00303997"/>
    <w:p w:rsidR="0071550E" w:rsidRDefault="0071550E"/>
    <w:p w:rsidR="0048647A" w:rsidRDefault="0048647A"/>
    <w:sectPr w:rsidR="004864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246C78"/>
    <w:multiLevelType w:val="hybridMultilevel"/>
    <w:tmpl w:val="1DC09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35E0983"/>
    <w:multiLevelType w:val="hybridMultilevel"/>
    <w:tmpl w:val="184444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FFA5DAD"/>
    <w:multiLevelType w:val="hybridMultilevel"/>
    <w:tmpl w:val="5EDC80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47E5"/>
    <w:rsid w:val="00042016"/>
    <w:rsid w:val="002A78F7"/>
    <w:rsid w:val="002F1AB5"/>
    <w:rsid w:val="00303997"/>
    <w:rsid w:val="0048647A"/>
    <w:rsid w:val="00656543"/>
    <w:rsid w:val="00700CA5"/>
    <w:rsid w:val="0071550E"/>
    <w:rsid w:val="008B11A1"/>
    <w:rsid w:val="00B4629A"/>
    <w:rsid w:val="00EE47E5"/>
    <w:rsid w:val="00F563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4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47E5"/>
    <w:rPr>
      <w:rFonts w:ascii="Tahoma" w:hAnsi="Tahoma" w:cs="Tahoma"/>
      <w:sz w:val="16"/>
      <w:szCs w:val="16"/>
    </w:rPr>
  </w:style>
  <w:style w:type="paragraph" w:styleId="ListParagraph">
    <w:name w:val="List Paragraph"/>
    <w:basedOn w:val="Normal"/>
    <w:uiPriority w:val="34"/>
    <w:qFormat/>
    <w:rsid w:val="00F563C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4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47E5"/>
    <w:rPr>
      <w:rFonts w:ascii="Tahoma" w:hAnsi="Tahoma" w:cs="Tahoma"/>
      <w:sz w:val="16"/>
      <w:szCs w:val="16"/>
    </w:rPr>
  </w:style>
  <w:style w:type="paragraph" w:styleId="ListParagraph">
    <w:name w:val="List Paragraph"/>
    <w:basedOn w:val="Normal"/>
    <w:uiPriority w:val="34"/>
    <w:qFormat/>
    <w:rsid w:val="00F563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4217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16</Pages>
  <Words>225</Words>
  <Characters>1289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AIG</Company>
  <LinksUpToDate>false</LinksUpToDate>
  <CharactersWithSpaces>1511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 Lisa</dc:creator>
  <cp:lastModifiedBy>Liu, Lisa</cp:lastModifiedBy>
  <cp:revision>12</cp:revision>
  <dcterms:created xsi:type="dcterms:W3CDTF">2015-09-02T21:30:00Z</dcterms:created>
  <dcterms:modified xsi:type="dcterms:W3CDTF">2015-09-02T22:16:00Z</dcterms:modified>
</cp:coreProperties>
</file>