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rPr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Declaration of competing interests</w:t>
      </w:r>
    </w:p>
    <w:p>
      <w:pPr>
        <w:spacing w:after="150" w:line="260"/>
      </w:pPr>
      <w:r>
        <w:rPr>
          <w:rFonts w:ascii="Arial" w:cs="Arial" w:eastAsia="Arial" w:hAnsi="Arial"/>
          <w:sz w:val="22"/>
          <w:szCs w:val="22"/>
        </w:rPr>
        <w:t xml:space="preserve">The authors declare that they have no known competing financial interests or personal relationships that could have appeared to influence the work reported in this paper.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Declaration_of_Competing_Interests</dc:title>
  <cp:lastModifiedBy>Un-named</cp:lastModifiedBy>
  <cp:revision>1</cp:revision>
  <dcterms:created xsi:type="dcterms:W3CDTF">2026-10-05T17:27:33.791Z</dcterms:created>
  <dcterms:modified xsi:type="dcterms:W3CDTF">2026-10-05T17:27:33.791Z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