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</w:pP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 xml:space="preserve">Table </w:t>
      </w: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  <w:lang w:val="en-US" w:eastAsia="zh-CN"/>
        </w:rPr>
        <w:t>S1</w:t>
      </w: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 xml:space="preserve"> Information related to sequences in the gene ban</w:t>
      </w: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  <w:lang w:val="en-US" w:eastAsia="zh-CN"/>
        </w:rPr>
        <w:t>k</w:t>
      </w:r>
    </w:p>
    <w:tbl>
      <w:tblPr>
        <w:tblStyle w:val="7"/>
        <w:tblW w:w="1587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3180"/>
        <w:gridCol w:w="874"/>
        <w:gridCol w:w="1301"/>
        <w:gridCol w:w="670"/>
        <w:gridCol w:w="680"/>
        <w:gridCol w:w="481"/>
        <w:gridCol w:w="889"/>
        <w:gridCol w:w="1517"/>
        <w:gridCol w:w="1069"/>
        <w:gridCol w:w="1160"/>
        <w:gridCol w:w="355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  <w:tblHeader/>
          <w:jc w:val="center"/>
        </w:trPr>
        <w:tc>
          <w:tcPr>
            <w:tcW w:w="499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No.</w:t>
            </w:r>
          </w:p>
        </w:tc>
        <w:tc>
          <w:tcPr>
            <w:tcW w:w="3180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Strain name</w:t>
            </w:r>
          </w:p>
        </w:tc>
        <w:tc>
          <w:tcPr>
            <w:tcW w:w="874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Collection node</w:t>
            </w:r>
          </w:p>
        </w:tc>
        <w:tc>
          <w:tcPr>
            <w:tcW w:w="1301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Living environment</w:t>
            </w:r>
          </w:p>
        </w:tc>
        <w:tc>
          <w:tcPr>
            <w:tcW w:w="670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Breed</w:t>
            </w:r>
          </w:p>
        </w:tc>
        <w:tc>
          <w:tcPr>
            <w:tcW w:w="680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Gender</w:t>
            </w:r>
          </w:p>
        </w:tc>
        <w:tc>
          <w:tcPr>
            <w:tcW w:w="481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Age</w:t>
            </w:r>
          </w:p>
        </w:tc>
        <w:tc>
          <w:tcPr>
            <w:tcW w:w="889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Sample source</w:t>
            </w:r>
          </w:p>
        </w:tc>
        <w:tc>
          <w:tcPr>
            <w:tcW w:w="1517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Detection of FCoV based on 3’UTR gene</w:t>
            </w:r>
          </w:p>
        </w:tc>
        <w:tc>
          <w:tcPr>
            <w:tcW w:w="2229" w:type="dxa"/>
            <w:gridSpan w:val="2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Genotyping of FCoVs based on partial S gene</w:t>
            </w:r>
          </w:p>
        </w:tc>
        <w:tc>
          <w:tcPr>
            <w:tcW w:w="3554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Genbank accession No. of partial S genes of FCoVs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  <w:tblHeader/>
          <w:jc w:val="center"/>
        </w:trPr>
        <w:tc>
          <w:tcPr>
            <w:tcW w:w="499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70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vMerge w:val="continue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517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Type Ⅰ of FCoV</w:t>
            </w:r>
          </w:p>
        </w:tc>
        <w:tc>
          <w:tcPr>
            <w:tcW w:w="116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Type Ⅱ of FCoV</w:t>
            </w:r>
          </w:p>
        </w:tc>
        <w:tc>
          <w:tcPr>
            <w:tcW w:w="3554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  <w:tblHeader/>
          <w:jc w:val="center"/>
        </w:trPr>
        <w:tc>
          <w:tcPr>
            <w:tcW w:w="499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3180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FIPV/HB/WH/2020/74/f2</w:t>
            </w:r>
          </w:p>
        </w:tc>
        <w:tc>
          <w:tcPr>
            <w:tcW w:w="874" w:type="dxa"/>
            <w:tcBorders>
              <w:top w:val="single" w:color="000000" w:sz="12" w:space="0"/>
            </w:tcBorders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01" w:type="dxa"/>
            <w:tcBorders>
              <w:top w:val="single" w:color="000000" w:sz="12" w:space="0"/>
            </w:tcBorders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/</w:t>
            </w:r>
          </w:p>
        </w:tc>
        <w:tc>
          <w:tcPr>
            <w:tcW w:w="670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color="000000" w:sz="12" w:space="0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OK236259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FCoV/HB/WH/2019/10/Zhuangzhuang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12M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OK236260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FCoV/HB/WH/2019/12/Xiaosongshu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24M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FCoV/HB/WH/2019/15/Qinqin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24M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OK236262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FCoV/HB/WH/2019/16/Yuanliuliu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FCoV/HB/WH/2019/17/Xiaoxiao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24M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FCoV/HB/WH/2019/19/Doudou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FCoV/HB/WH/2019/2/Ali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36M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FCoV/HB/WH/2019/20/Huli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Apr-19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FCoV/HB/WH/2019/24/Wawa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10M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OK236268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FCoV/HB/WH/2019/31/Aobai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OK236269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FCoV/HB/WH/2019/33/Erhao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Jun-19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OK236270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FCoV/HB/WH/2019/34/Sanhao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Jun-19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OK236271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FCoV/HB/WH/2019/38/Xiaoliu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Jul-19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10M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FCoV/HB/WH/2019/4/Lugouqiao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FCoV/HB/WH/2019/43/Miantuan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Jul-19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60M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FCoV/HB/WH/2019/5/Jianjian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36M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FCoV/HB/WH/2019/50/Dahong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Jul-19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33M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FCoV/HB/WH/2019/51/Meimei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Jun-19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33M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FCoV/HB/WH/2019/52/Momo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Jul-19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OK236278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FCoV/HB/WH/2019/53/Danxiaogui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Aug-19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OK236279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FCoV/HB/WH/2019/54/Dada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Aug-19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OK236280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FCoV/HB/WH/2019/55/Pangpang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OK236281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FCoV/HB/WH/2019/56/Taotao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FCoV/HB/WH/2019/57/Zhuangzhuang2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FCoV/HB/WH/2019/58/Wawa2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OK236284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FCoV/HB/WH/2019/59/Hei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OK236285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FCoV/HB/WH/2019/6/Xiaohong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10M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FCoV/HB/WH/2019/64/Dazhuang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OK236287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FCoV/HB/WH/2019/66/Shan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OK236288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FCoV/HB/WH/2019/7/Lvyan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Apr-19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OK236289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FCoV/HB/WH/2019/8/Xiaohui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Apr-19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10M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OK236290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FIPV/HB/WH/2019/1/Chami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FIPV/HB/WH/2019/11/Runtu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FIPV/HB/WH/2019/15/Latiao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FIPV/HB/WH/2019/16/Baozi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OK236294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FIPV/HB/WH/2019/18/Jiujiu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FIPV/HB/WH/2019/20/Shiqi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FIPV/HB/WH/2019/21/Zhanan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Jun-19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9M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FIPV/HB/WH/2019/25/Heiya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OK236298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FIPV/HB/WH/2019/28/Kele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OK236299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FIPV/HB/WH/2019/3/Maodou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Feb-19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FIPV/HB/WH/2019/38/Wanwan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FIPV/HB/WH/2019/41/Nini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Aug-19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FIPV/HB/WH/2019/47/Luna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18M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FIPV/HB/WH/2019/48/Wubai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OK236304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FIPV/HB/WH/2019/8/Hanhan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FCoV/HB/WH/2020/107/Wanzi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FCoV/HB/WH/2020/108/107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FCoV/HB/WH/2020/126/Nomi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12M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FCoV/HB/WH/2020/134/Naiqiu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FCoV/HB/WH/2020/136/Babao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12M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FCoV/HB/WH/2020/141/Tiantian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FCoV/HB/WH/2020/143/youzi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FCoV/HB/WH/2020/145/Rourou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29M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FCoV/HB/WH/2020/147/Libai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48M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FCoV/HB/WH/2020/149/Huasheng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16M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FCoV/HB/WH/2020/151/Anni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36M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FCoV/HB/WH/2020/153/Dali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FCoV/HB/WH/2020/154/Sifeng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FCoV/HB/WH/2020/156/Dagou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FCoV/HB/WH/2020/164/Paofu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FCoV/HB/WH/2020/188/Chuchu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FCoV/HB/WH/2020/193/Mengmeng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FCoV/HB/WH/2020/195/Susu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16M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FCoV/HB/WH/2020/198/lucky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12M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FCoV/HB/WH/2020/200/Kafei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32M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FCoV/HB/WH/2020/201/kaka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28M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FCoV/HB/WH/2020/205/Xiangxiang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12M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FCoV/HB/WH/2020/206/xueshang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28M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OK236328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FCoV/HB/WH/2020/212/Niangao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OK236329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FCoV/HB/WH/2020/224/Mimi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OK236330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FCoV/HB/WH/2020/226/qiuqiu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FCoV/HB/WH/2020/230/changshou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4W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FCoV/HB/WH/2020/232/Baixiaobai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FCoV/HB/WH/2020/235/Fugui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FCoV/HB/WH/2020/238/Tuanzi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FCoV/HB/WH/2020/242/Doubao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OK236336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FCoV/HB/WH/2020/249/Daliu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OK236337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FCoV/HB/WH/2020/250/Juzi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24M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FCoV/HB/WH/2020/77/16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Aug-20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8M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FCoV/HB/WH/2020/78/18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Aug-20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9M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OK236340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FCoV/HB/WH/2020/82/28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feces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FIPV/HB/WH/2020/51/huahua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17M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  <w:tblHeader/>
          <w:jc w:val="center"/>
        </w:trPr>
        <w:tc>
          <w:tcPr>
            <w:tcW w:w="499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85</w:t>
            </w:r>
          </w:p>
        </w:tc>
        <w:tc>
          <w:tcPr>
            <w:tcW w:w="3180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FIPV/HB/WH/2020/73/Xiaoba</w:t>
            </w:r>
          </w:p>
        </w:tc>
        <w:tc>
          <w:tcPr>
            <w:tcW w:w="874" w:type="dxa"/>
            <w:tcBorders>
              <w:bottom w:val="single" w:color="000000" w:sz="12" w:space="0"/>
            </w:tcBorders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01" w:type="dxa"/>
            <w:tcBorders>
              <w:bottom w:val="single" w:color="000000" w:sz="12" w:space="0"/>
            </w:tcBorders>
            <w:noWrap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eastAsia="Times New Roman" w:cs="Palatino Linotype"/>
                <w:color w:val="000000"/>
                <w:sz w:val="20"/>
                <w:szCs w:val="20"/>
              </w:rPr>
              <w:t>/</w:t>
            </w:r>
          </w:p>
        </w:tc>
        <w:tc>
          <w:tcPr>
            <w:tcW w:w="670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color="000000" w:sz="12" w:space="0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ascites</w:t>
            </w:r>
          </w:p>
        </w:tc>
        <w:tc>
          <w:tcPr>
            <w:tcW w:w="1517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069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+</w:t>
            </w:r>
          </w:p>
        </w:tc>
        <w:tc>
          <w:tcPr>
            <w:tcW w:w="1160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OK236343</w:t>
            </w:r>
          </w:p>
        </w:tc>
      </w:tr>
    </w:tbl>
    <w:p>
      <w:pPr>
        <w:pStyle w:val="2"/>
        <w:widowControl/>
        <w:shd w:val="clear" w:color="auto" w:fill="FFFFFF"/>
        <w:spacing w:before="0" w:beforeAutospacing="0" w:after="0" w:afterAutospacing="0"/>
        <w:jc w:val="both"/>
        <w:rPr>
          <w:rFonts w:hint="default" w:ascii="Palatino Linotype" w:hAnsi="Palatino Linotype" w:eastAsia="Open Sans" w:cs="Palatino Linotype"/>
          <w:color w:val="1C1D1E"/>
          <w:sz w:val="20"/>
          <w:szCs w:val="20"/>
          <w:shd w:val="clear" w:color="auto" w:fill="FFFFFF"/>
        </w:rPr>
        <w:sectPr>
          <w:pgSz w:w="16838" w:h="11906" w:orient="landscape"/>
          <w:pgMar w:top="720" w:right="720" w:bottom="720" w:left="720" w:header="851" w:footer="992" w:gutter="0"/>
          <w:lnNumType w:countBy="1" w:restart="continuous"/>
          <w:cols w:space="720" w:num="1"/>
          <w:docGrid w:type="lines" w:linePitch="312" w:charSpace="0"/>
        </w:sectPr>
      </w:pPr>
      <w:r>
        <w:rPr>
          <w:rFonts w:hint="default" w:ascii="Palatino Linotype" w:hAnsi="Palatino Linotype" w:eastAsia="Open Sans" w:cs="Palatino Linotype"/>
          <w:color w:val="1C1D1E"/>
          <w:sz w:val="20"/>
          <w:szCs w:val="20"/>
          <w:shd w:val="clear" w:color="auto" w:fill="FFFFFF"/>
        </w:rPr>
        <w:t>Notes</w:t>
      </w:r>
      <w:r>
        <w:rPr>
          <w:rFonts w:hint="default" w:ascii="Palatino Linotype" w:hAnsi="Palatino Linotype" w:cs="Palatino Linotype"/>
          <w:color w:val="1C1D1E"/>
          <w:sz w:val="20"/>
          <w:szCs w:val="20"/>
          <w:shd w:val="clear" w:color="auto" w:fill="FFFFFF"/>
        </w:rPr>
        <w:t>：</w:t>
      </w:r>
      <w:r>
        <w:rPr>
          <w:rFonts w:hint="default" w:ascii="Palatino Linotype" w:hAnsi="Palatino Linotype" w:eastAsia="Open Sans" w:cs="Palatino Linotype"/>
          <w:color w:val="1C1D1E"/>
          <w:sz w:val="20"/>
          <w:szCs w:val="20"/>
          <w:shd w:val="clear" w:color="auto" w:fill="FFFFFF"/>
        </w:rPr>
        <w:t>For breed, ASH: American Shorthair; BSH: British Shorthair; DSH: Domestic Shorthair; ESH: Exotic Shorthair</w:t>
      </w:r>
      <w:r>
        <w:rPr>
          <w:rFonts w:hint="default" w:ascii="Palatino Linotype" w:hAnsi="Palatino Linotype" w:cs="Palatino Linotype"/>
          <w:color w:val="1C1D1E"/>
          <w:sz w:val="20"/>
          <w:szCs w:val="20"/>
          <w:shd w:val="clear" w:color="auto" w:fill="FFFFFF"/>
        </w:rPr>
        <w:t xml:space="preserve">; ELH: Exotic Longhair. </w:t>
      </w:r>
      <w:r>
        <w:rPr>
          <w:rFonts w:hint="default" w:ascii="Palatino Linotype" w:hAnsi="Palatino Linotype" w:eastAsia="Open Sans" w:cs="Palatino Linotype"/>
          <w:color w:val="1C1D1E"/>
          <w:sz w:val="20"/>
          <w:szCs w:val="20"/>
          <w:shd w:val="clear" w:color="auto" w:fill="FFFFFF"/>
        </w:rPr>
        <w:t>For gender, F: female, and M: male. For age, M: month. NA: not available. For sample source, CHC: clinically healthy cat; FSC: FIP-suspected cat. “+” represents positive results of viral detection; “–”represents negative results of viral detection</w:t>
      </w:r>
    </w:p>
    <w:p>
      <w:pP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</w:pP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 xml:space="preserve">Table </w:t>
      </w: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  <w:lang w:val="en-US" w:eastAsia="zh-CN"/>
        </w:rPr>
        <w:t>S</w:t>
      </w: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>2 Correlation of FCoV prevalence with clinical status, sex, breed, age and residential density</w:t>
      </w:r>
    </w:p>
    <w:tbl>
      <w:tblPr>
        <w:tblStyle w:val="7"/>
        <w:tblW w:w="15874" w:type="dxa"/>
        <w:jc w:val="center"/>
        <w:tblBorders>
          <w:top w:val="single" w:color="000000" w:sz="18" w:space="0"/>
          <w:left w:val="none" w:color="auto" w:sz="0" w:space="0"/>
          <w:bottom w:val="single" w:color="000000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1397"/>
        <w:gridCol w:w="2059"/>
        <w:gridCol w:w="1442"/>
        <w:gridCol w:w="2111"/>
        <w:gridCol w:w="1448"/>
        <w:gridCol w:w="988"/>
        <w:gridCol w:w="992"/>
        <w:gridCol w:w="1308"/>
        <w:gridCol w:w="2035"/>
      </w:tblGrid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1346" w:type="dxa"/>
            <w:tcBorders>
              <w:top w:val="single" w:color="000000" w:sz="12" w:space="0"/>
              <w:bottom w:val="single" w:color="000000" w:sz="12" w:space="0"/>
            </w:tcBorders>
            <w:noWrap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  <w:lang w:bidi="ar"/>
              </w:rPr>
              <w:t>Total number of samples</w:t>
            </w:r>
          </w:p>
        </w:tc>
        <w:tc>
          <w:tcPr>
            <w:tcW w:w="1324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  <w:lang w:bidi="ar"/>
              </w:rPr>
              <w:t>FCoV positive number</w:t>
            </w:r>
          </w:p>
        </w:tc>
        <w:tc>
          <w:tcPr>
            <w:tcW w:w="92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  <w:lang w:bidi="ar"/>
              </w:rPr>
              <w:t>Positive rate</w:t>
            </w:r>
          </w:p>
        </w:tc>
        <w:tc>
          <w:tcPr>
            <w:tcW w:w="135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  <w:lang w:bidi="ar"/>
              </w:rPr>
              <w:t>FCoV negative number</w:t>
            </w:r>
          </w:p>
        </w:tc>
        <w:tc>
          <w:tcPr>
            <w:tcW w:w="93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sz w:val="20"/>
                <w:szCs w:val="20"/>
              </w:rPr>
              <w:t>Negative rate</w:t>
            </w:r>
          </w:p>
        </w:tc>
        <w:tc>
          <w:tcPr>
            <w:tcW w:w="635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  <w:lang w:bidi="ar"/>
              </w:rPr>
              <w:t>χ</w:t>
            </w:r>
            <w:r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  <w:vertAlign w:val="superscript"/>
                <w:lang w:bidi="ar"/>
              </w:rPr>
              <w:t>2</w:t>
            </w:r>
          </w:p>
        </w:tc>
        <w:tc>
          <w:tcPr>
            <w:tcW w:w="63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P</w:t>
            </w:r>
          </w:p>
        </w:tc>
        <w:tc>
          <w:tcPr>
            <w:tcW w:w="84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OR</w:t>
            </w:r>
          </w:p>
        </w:tc>
        <w:tc>
          <w:tcPr>
            <w:tcW w:w="130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95%CI</w:t>
            </w: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346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371</w:t>
            </w:r>
          </w:p>
        </w:tc>
        <w:tc>
          <w:tcPr>
            <w:tcW w:w="1324" w:type="dxa"/>
            <w:tcBorders>
              <w:top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172</w:t>
            </w:r>
          </w:p>
        </w:tc>
        <w:tc>
          <w:tcPr>
            <w:tcW w:w="927" w:type="dxa"/>
            <w:tcBorders>
              <w:top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46.4%</w:t>
            </w:r>
          </w:p>
        </w:tc>
        <w:tc>
          <w:tcPr>
            <w:tcW w:w="1357" w:type="dxa"/>
            <w:tcBorders>
              <w:top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199</w:t>
            </w:r>
          </w:p>
        </w:tc>
        <w:tc>
          <w:tcPr>
            <w:tcW w:w="931" w:type="dxa"/>
            <w:tcBorders>
              <w:top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53.6%</w:t>
            </w:r>
          </w:p>
        </w:tc>
        <w:tc>
          <w:tcPr>
            <w:tcW w:w="635" w:type="dxa"/>
            <w:tcBorders>
              <w:top w:val="single" w:color="000000" w:sz="12" w:space="0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color="000000" w:sz="12" w:space="0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color="000000" w:sz="12" w:space="0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color="000000" w:sz="12" w:space="0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  <w:lang w:bidi="ar"/>
              </w:rPr>
              <w:t>Clinical status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n=371</w:t>
            </w:r>
          </w:p>
        </w:tc>
        <w:tc>
          <w:tcPr>
            <w:tcW w:w="1324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6.932</w:t>
            </w:r>
          </w:p>
        </w:tc>
        <w:tc>
          <w:tcPr>
            <w:tcW w:w="63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0.008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FIP suspected cat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81</w:t>
            </w:r>
          </w:p>
        </w:tc>
        <w:tc>
          <w:tcPr>
            <w:tcW w:w="13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  <w:tc>
          <w:tcPr>
            <w:tcW w:w="92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59.3%</w:t>
            </w:r>
          </w:p>
        </w:tc>
        <w:tc>
          <w:tcPr>
            <w:tcW w:w="135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9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40.7%</w:t>
            </w:r>
          </w:p>
        </w:tc>
        <w:tc>
          <w:tcPr>
            <w:tcW w:w="635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1.683</w:t>
            </w:r>
          </w:p>
        </w:tc>
        <w:tc>
          <w:tcPr>
            <w:tcW w:w="130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1.135-2.494</w:t>
            </w: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Non-FIP cat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290</w:t>
            </w:r>
          </w:p>
        </w:tc>
        <w:tc>
          <w:tcPr>
            <w:tcW w:w="13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124</w:t>
            </w:r>
          </w:p>
        </w:tc>
        <w:tc>
          <w:tcPr>
            <w:tcW w:w="92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42.8%</w:t>
            </w:r>
          </w:p>
        </w:tc>
        <w:tc>
          <w:tcPr>
            <w:tcW w:w="135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166</w:t>
            </w:r>
          </w:p>
        </w:tc>
        <w:tc>
          <w:tcPr>
            <w:tcW w:w="9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57.2%</w:t>
            </w:r>
          </w:p>
        </w:tc>
        <w:tc>
          <w:tcPr>
            <w:tcW w:w="635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0.864</w:t>
            </w:r>
          </w:p>
        </w:tc>
        <w:tc>
          <w:tcPr>
            <w:tcW w:w="130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0.773-0.966</w:t>
            </w: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n=358</w:t>
            </w:r>
          </w:p>
        </w:tc>
        <w:tc>
          <w:tcPr>
            <w:tcW w:w="1324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0.634</w:t>
            </w:r>
          </w:p>
        </w:tc>
        <w:tc>
          <w:tcPr>
            <w:tcW w:w="63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0.426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186</w:t>
            </w:r>
          </w:p>
        </w:tc>
        <w:tc>
          <w:tcPr>
            <w:tcW w:w="13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90</w:t>
            </w:r>
          </w:p>
        </w:tc>
        <w:tc>
          <w:tcPr>
            <w:tcW w:w="92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48.4%</w:t>
            </w:r>
          </w:p>
        </w:tc>
        <w:tc>
          <w:tcPr>
            <w:tcW w:w="135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96</w:t>
            </w:r>
          </w:p>
        </w:tc>
        <w:tc>
          <w:tcPr>
            <w:tcW w:w="9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51.6%</w:t>
            </w:r>
          </w:p>
        </w:tc>
        <w:tc>
          <w:tcPr>
            <w:tcW w:w="635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1.084</w:t>
            </w:r>
          </w:p>
        </w:tc>
        <w:tc>
          <w:tcPr>
            <w:tcW w:w="130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0.889-1.323</w:t>
            </w: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172</w:t>
            </w:r>
          </w:p>
        </w:tc>
        <w:tc>
          <w:tcPr>
            <w:tcW w:w="13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76</w:t>
            </w:r>
          </w:p>
        </w:tc>
        <w:tc>
          <w:tcPr>
            <w:tcW w:w="92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44.2%</w:t>
            </w:r>
          </w:p>
        </w:tc>
        <w:tc>
          <w:tcPr>
            <w:tcW w:w="135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96</w:t>
            </w:r>
          </w:p>
        </w:tc>
        <w:tc>
          <w:tcPr>
            <w:tcW w:w="9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55.8%</w:t>
            </w:r>
          </w:p>
        </w:tc>
        <w:tc>
          <w:tcPr>
            <w:tcW w:w="635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130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0.736-1.138</w:t>
            </w: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  <w:lang w:bidi="ar"/>
              </w:rPr>
              <w:t>Variety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n=351</w:t>
            </w:r>
          </w:p>
        </w:tc>
        <w:tc>
          <w:tcPr>
            <w:tcW w:w="1324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7.901</w:t>
            </w:r>
          </w:p>
        </w:tc>
        <w:tc>
          <w:tcPr>
            <w:tcW w:w="63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0.005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  <w:lang w:bidi="ar"/>
              </w:rPr>
              <w:t>Mongrel cat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127</w:t>
            </w:r>
          </w:p>
        </w:tc>
        <w:tc>
          <w:tcPr>
            <w:tcW w:w="13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  <w:tc>
          <w:tcPr>
            <w:tcW w:w="92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36.2%</w:t>
            </w:r>
          </w:p>
        </w:tc>
        <w:tc>
          <w:tcPr>
            <w:tcW w:w="135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81</w:t>
            </w:r>
          </w:p>
        </w:tc>
        <w:tc>
          <w:tcPr>
            <w:tcW w:w="9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63.8%</w:t>
            </w:r>
          </w:p>
        </w:tc>
        <w:tc>
          <w:tcPr>
            <w:tcW w:w="635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130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0.493-0.890</w:t>
            </w: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  <w:lang w:bidi="ar"/>
              </w:rPr>
              <w:t>Purebred cat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224</w:t>
            </w:r>
          </w:p>
        </w:tc>
        <w:tc>
          <w:tcPr>
            <w:tcW w:w="13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116</w:t>
            </w:r>
          </w:p>
        </w:tc>
        <w:tc>
          <w:tcPr>
            <w:tcW w:w="92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51.8%</w:t>
            </w:r>
          </w:p>
        </w:tc>
        <w:tc>
          <w:tcPr>
            <w:tcW w:w="135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108</w:t>
            </w:r>
          </w:p>
        </w:tc>
        <w:tc>
          <w:tcPr>
            <w:tcW w:w="9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48.2%</w:t>
            </w:r>
          </w:p>
        </w:tc>
        <w:tc>
          <w:tcPr>
            <w:tcW w:w="635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1.253</w:t>
            </w:r>
          </w:p>
        </w:tc>
        <w:tc>
          <w:tcPr>
            <w:tcW w:w="130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1.071-1.466</w:t>
            </w: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  <w:lang w:bidi="ar"/>
              </w:rPr>
              <w:t>Age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n=361</w:t>
            </w:r>
          </w:p>
        </w:tc>
        <w:tc>
          <w:tcPr>
            <w:tcW w:w="1324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5.953</w:t>
            </w:r>
          </w:p>
        </w:tc>
        <w:tc>
          <w:tcPr>
            <w:tcW w:w="63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0.015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≤10M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211</w:t>
            </w:r>
          </w:p>
        </w:tc>
        <w:tc>
          <w:tcPr>
            <w:tcW w:w="13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109</w:t>
            </w:r>
          </w:p>
        </w:tc>
        <w:tc>
          <w:tcPr>
            <w:tcW w:w="92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51.7%</w:t>
            </w:r>
          </w:p>
        </w:tc>
        <w:tc>
          <w:tcPr>
            <w:tcW w:w="135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102</w:t>
            </w:r>
          </w:p>
        </w:tc>
        <w:tc>
          <w:tcPr>
            <w:tcW w:w="9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48.3%</w:t>
            </w:r>
          </w:p>
        </w:tc>
        <w:tc>
          <w:tcPr>
            <w:tcW w:w="635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1.241</w:t>
            </w:r>
          </w:p>
        </w:tc>
        <w:tc>
          <w:tcPr>
            <w:tcW w:w="130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1.044-1.477</w:t>
            </w: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A&gt;10M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150</w:t>
            </w:r>
          </w:p>
        </w:tc>
        <w:tc>
          <w:tcPr>
            <w:tcW w:w="13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  <w:tc>
          <w:tcPr>
            <w:tcW w:w="92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38.7%</w:t>
            </w:r>
          </w:p>
        </w:tc>
        <w:tc>
          <w:tcPr>
            <w:tcW w:w="135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92</w:t>
            </w:r>
          </w:p>
        </w:tc>
        <w:tc>
          <w:tcPr>
            <w:tcW w:w="9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61.3%</w:t>
            </w:r>
          </w:p>
        </w:tc>
        <w:tc>
          <w:tcPr>
            <w:tcW w:w="635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0.732</w:t>
            </w:r>
          </w:p>
        </w:tc>
        <w:tc>
          <w:tcPr>
            <w:tcW w:w="130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0.567-0.945</w:t>
            </w: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  <w:lang w:bidi="ar"/>
              </w:rPr>
              <w:t>Residential density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n=323</w:t>
            </w:r>
          </w:p>
        </w:tc>
        <w:tc>
          <w:tcPr>
            <w:tcW w:w="1324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12.613</w:t>
            </w:r>
          </w:p>
        </w:tc>
        <w:tc>
          <w:tcPr>
            <w:tcW w:w="63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0.000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4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218</w:t>
            </w:r>
          </w:p>
        </w:tc>
        <w:tc>
          <w:tcPr>
            <w:tcW w:w="13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81</w:t>
            </w:r>
          </w:p>
        </w:tc>
        <w:tc>
          <w:tcPr>
            <w:tcW w:w="92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37.2%</w:t>
            </w:r>
          </w:p>
        </w:tc>
        <w:tc>
          <w:tcPr>
            <w:tcW w:w="135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137</w:t>
            </w:r>
          </w:p>
        </w:tc>
        <w:tc>
          <w:tcPr>
            <w:tcW w:w="9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62.8%</w:t>
            </w:r>
          </w:p>
        </w:tc>
        <w:tc>
          <w:tcPr>
            <w:tcW w:w="635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130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0.639-0.889</w:t>
            </w:r>
          </w:p>
        </w:tc>
      </w:tr>
      <w:tr>
        <w:tblPrEx>
          <w:tblBorders>
            <w:top w:val="single" w:color="000000" w:sz="18" w:space="0"/>
            <w:left w:val="none" w:color="auto" w:sz="0" w:space="0"/>
            <w:bottom w:val="single" w:color="00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346" w:type="dxa"/>
            <w:tcBorders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  <w:lang w:bidi="ar"/>
              </w:rPr>
              <w:t>Multiple</w:t>
            </w:r>
          </w:p>
        </w:tc>
        <w:tc>
          <w:tcPr>
            <w:tcW w:w="898" w:type="dxa"/>
            <w:tcBorders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105</w:t>
            </w:r>
          </w:p>
        </w:tc>
        <w:tc>
          <w:tcPr>
            <w:tcW w:w="1324" w:type="dxa"/>
            <w:tcBorders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  <w:tc>
          <w:tcPr>
            <w:tcW w:w="927" w:type="dxa"/>
            <w:tcBorders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58.1%</w:t>
            </w:r>
          </w:p>
        </w:tc>
        <w:tc>
          <w:tcPr>
            <w:tcW w:w="1357" w:type="dxa"/>
            <w:tcBorders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  <w:tc>
          <w:tcPr>
            <w:tcW w:w="931" w:type="dxa"/>
            <w:tcBorders>
              <w:bottom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41.9%</w:t>
            </w:r>
          </w:p>
        </w:tc>
        <w:tc>
          <w:tcPr>
            <w:tcW w:w="635" w:type="dxa"/>
            <w:tcBorders>
              <w:bottom w:val="single" w:color="000000" w:sz="12" w:space="0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bottom w:val="single" w:color="000000" w:sz="12" w:space="0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color="000000" w:sz="12" w:space="0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1.767</w:t>
            </w:r>
          </w:p>
        </w:tc>
        <w:tc>
          <w:tcPr>
            <w:tcW w:w="1308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  <w:t>1.284-2.432</w:t>
            </w:r>
          </w:p>
        </w:tc>
      </w:tr>
    </w:tbl>
    <w:p>
      <w:pPr>
        <w:jc w:val="left"/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</w:pP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>In the process of collecting clinical information, some pet owners did not disclose some pet-related information, resulting in a different total sample volume when analyzing each risk factor.</w:t>
      </w:r>
    </w:p>
    <w:p>
      <w:pPr>
        <w:jc w:val="left"/>
        <w:rPr>
          <w:rFonts w:hint="default" w:ascii="Palatino Linotype" w:hAnsi="Palatino Linotype" w:eastAsia="宋体" w:cs="Palatino Linotype"/>
          <w:b/>
          <w:color w:val="000000"/>
          <w:sz w:val="20"/>
          <w:szCs w:val="20"/>
          <w:lang w:val="en-US" w:eastAsia="zh-CN"/>
        </w:rPr>
        <w:sectPr>
          <w:pgSz w:w="16838" w:h="11906" w:orient="landscape"/>
          <w:pgMar w:top="720" w:right="720" w:bottom="720" w:left="72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lnNumType w:countBy="1" w:restart="continuous"/>
          <w:cols w:space="0" w:num="1"/>
          <w:rtlGutter w:val="0"/>
          <w:docGrid w:type="lines" w:linePitch="317" w:charSpace="0"/>
        </w:sectPr>
      </w:pP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>χ2</w:t>
      </w:r>
      <w:r>
        <w:rPr>
          <w:rFonts w:hint="default" w:ascii="Palatino Linotype" w:hAnsi="Palatino Linotype" w:cs="Palatino Linotype"/>
          <w:b/>
          <w:color w:val="000000"/>
          <w:sz w:val="20"/>
          <w:szCs w:val="20"/>
          <w:lang w:val="en-US" w:eastAsia="zh-CN"/>
        </w:rPr>
        <w:t xml:space="preserve">: </w:t>
      </w: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>Chi-square; OR</w:t>
      </w:r>
      <w:r>
        <w:rPr>
          <w:rFonts w:hint="default" w:ascii="Palatino Linotype" w:hAnsi="Palatino Linotype" w:cs="Palatino Linotype"/>
          <w:b/>
          <w:color w:val="000000"/>
          <w:sz w:val="20"/>
          <w:szCs w:val="20"/>
          <w:lang w:val="en-US" w:eastAsia="zh-CN"/>
        </w:rPr>
        <w:t xml:space="preserve">: </w:t>
      </w: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>Odds Ratio; C</w:t>
      </w:r>
      <w:r>
        <w:rPr>
          <w:rFonts w:hint="default" w:ascii="Palatino Linotype" w:hAnsi="Palatino Linotype" w:cs="Palatino Linotype"/>
          <w:b/>
          <w:color w:val="000000"/>
          <w:sz w:val="20"/>
          <w:szCs w:val="20"/>
          <w:lang w:val="en-US" w:eastAsia="zh-CN"/>
        </w:rPr>
        <w:t xml:space="preserve">: </w:t>
      </w: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>Confidence Interval; M</w:t>
      </w:r>
      <w:r>
        <w:rPr>
          <w:rFonts w:hint="default" w:ascii="Palatino Linotype" w:hAnsi="Palatino Linotype" w:cs="Palatino Linotype"/>
          <w:b/>
          <w:color w:val="000000"/>
          <w:sz w:val="20"/>
          <w:szCs w:val="20"/>
          <w:lang w:val="en-US" w:eastAsia="zh-CN"/>
        </w:rPr>
        <w:t xml:space="preserve">: </w:t>
      </w: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>Months</w:t>
      </w:r>
      <w:r>
        <w:rPr>
          <w:rFonts w:hint="default" w:ascii="Palatino Linotype" w:hAnsi="Palatino Linotype" w:cs="Palatino Linotype"/>
          <w:b/>
          <w:color w:val="000000"/>
          <w:sz w:val="20"/>
          <w:szCs w:val="20"/>
          <w:lang w:val="en-US" w:eastAsia="zh-CN"/>
        </w:rPr>
        <w:t>.</w:t>
      </w:r>
    </w:p>
    <w:p>
      <w:pPr>
        <w:jc w:val="left"/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</w:pP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 xml:space="preserve">Table </w:t>
      </w: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  <w:lang w:val="en-US" w:eastAsia="zh-CN"/>
        </w:rPr>
        <w:t>S3</w:t>
      </w:r>
      <w:r>
        <w:rPr>
          <w:rFonts w:hint="default" w:ascii="Palatino Linotype" w:hAnsi="Palatino Linotype" w:eastAsia="TimesNewRomanPS-BoldMT" w:cs="Palatino Linotype"/>
          <w:b/>
          <w:color w:val="000000"/>
          <w:sz w:val="20"/>
          <w:szCs w:val="20"/>
        </w:rPr>
        <w:t xml:space="preserve"> The relationship between FCoV and diarrhea in Non-FIP cat</w:t>
      </w:r>
    </w:p>
    <w:tbl>
      <w:tblPr>
        <w:tblStyle w:val="7"/>
        <w:tblW w:w="1587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3"/>
        <w:gridCol w:w="2299"/>
        <w:gridCol w:w="2592"/>
        <w:gridCol w:w="2086"/>
        <w:gridCol w:w="1158"/>
        <w:gridCol w:w="1227"/>
        <w:gridCol w:w="1299"/>
        <w:gridCol w:w="21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  <w:jc w:val="center"/>
        </w:trPr>
        <w:tc>
          <w:tcPr>
            <w:tcW w:w="303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2"/>
              <w:jc w:val="center"/>
              <w:rPr>
                <w:rFonts w:hint="default" w:ascii="Palatino Linotype" w:hAnsi="Palatino Linotype" w:eastAsia="宋体" w:cs="Palatino Linotype"/>
                <w:b/>
                <w:sz w:val="20"/>
                <w:szCs w:val="20"/>
                <w:lang w:eastAsia="zh-CN"/>
              </w:rPr>
            </w:pPr>
            <w:r>
              <w:rPr>
                <w:rFonts w:hint="default" w:ascii="Palatino Linotype" w:hAnsi="Palatino Linotype" w:eastAsia="宋体" w:cs="Palatino Linotype"/>
                <w:b/>
                <w:sz w:val="20"/>
                <w:szCs w:val="20"/>
                <w:lang w:eastAsia="zh-CN"/>
              </w:rPr>
              <w:t>symptom</w:t>
            </w:r>
          </w:p>
        </w:tc>
        <w:tc>
          <w:tcPr>
            <w:tcW w:w="229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2"/>
              <w:jc w:val="center"/>
              <w:rPr>
                <w:rFonts w:hint="default" w:ascii="Palatino Linotype" w:hAnsi="Palatino Linotype" w:eastAsia="宋体" w:cs="Palatino Linotype"/>
                <w:b/>
                <w:sz w:val="20"/>
                <w:szCs w:val="20"/>
                <w:lang w:eastAsia="zh-CN"/>
              </w:rPr>
            </w:pPr>
            <w:r>
              <w:rPr>
                <w:rFonts w:hint="default" w:ascii="Palatino Linotype" w:hAnsi="Palatino Linotype" w:eastAsia="宋体" w:cs="Palatino Linotype"/>
                <w:b/>
                <w:bCs/>
                <w:color w:val="000000"/>
                <w:sz w:val="20"/>
                <w:szCs w:val="20"/>
                <w:lang w:eastAsia="zh-CN" w:bidi="ar"/>
              </w:rPr>
              <w:t>Total number of sample</w:t>
            </w:r>
          </w:p>
        </w:tc>
        <w:tc>
          <w:tcPr>
            <w:tcW w:w="258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2"/>
              <w:spacing w:before="32"/>
              <w:ind w:right="104"/>
              <w:jc w:val="center"/>
              <w:rPr>
                <w:rFonts w:hint="default" w:ascii="Palatino Linotype" w:hAnsi="Palatino Linotype" w:eastAsia="宋体" w:cs="Palatino Linotype"/>
                <w:b/>
                <w:sz w:val="20"/>
                <w:szCs w:val="20"/>
              </w:rPr>
            </w:pPr>
            <w:r>
              <w:rPr>
                <w:rFonts w:hint="default" w:ascii="Palatino Linotype" w:hAnsi="Palatino Linotype" w:eastAsia="宋体" w:cs="Palatino Linotype"/>
                <w:b/>
                <w:bCs/>
                <w:color w:val="000000"/>
                <w:sz w:val="20"/>
                <w:szCs w:val="20"/>
                <w:lang w:eastAsia="zh-CN" w:bidi="ar"/>
              </w:rPr>
              <w:t>FCoV positive</w:t>
            </w:r>
          </w:p>
        </w:tc>
        <w:tc>
          <w:tcPr>
            <w:tcW w:w="208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2"/>
              <w:spacing w:before="62"/>
              <w:jc w:val="center"/>
              <w:rPr>
                <w:rFonts w:hint="default" w:ascii="Palatino Linotype" w:hAnsi="Palatino Linotype" w:eastAsia="宋体" w:cs="Palatino Linotype"/>
                <w:b/>
                <w:sz w:val="20"/>
                <w:szCs w:val="20"/>
              </w:rPr>
            </w:pPr>
            <w:r>
              <w:rPr>
                <w:rFonts w:hint="default" w:ascii="Palatino Linotype" w:hAnsi="Palatino Linotype" w:eastAsia="宋体" w:cs="Palatino Linotype"/>
                <w:b/>
                <w:bCs/>
                <w:color w:val="000000"/>
                <w:sz w:val="20"/>
                <w:szCs w:val="20"/>
                <w:lang w:eastAsia="zh-CN" w:bidi="ar"/>
              </w:rPr>
              <w:t>FCoV negative</w:t>
            </w:r>
          </w:p>
        </w:tc>
        <w:tc>
          <w:tcPr>
            <w:tcW w:w="1155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pStyle w:val="12"/>
              <w:spacing w:before="178"/>
              <w:ind w:right="370"/>
              <w:jc w:val="center"/>
              <w:rPr>
                <w:rFonts w:hint="default" w:ascii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position w:val="-9"/>
                <w:sz w:val="20"/>
                <w:szCs w:val="20"/>
              </w:rPr>
              <w:t>χ</w:t>
            </w:r>
            <w:r>
              <w:rPr>
                <w:rFonts w:hint="default" w:ascii="Palatino Linotype" w:hAnsi="Palatino Linotype" w:cs="Palatino Linotype"/>
                <w:b/>
                <w:sz w:val="20"/>
                <w:szCs w:val="20"/>
              </w:rPr>
              <w:t>2</w:t>
            </w:r>
          </w:p>
        </w:tc>
        <w:tc>
          <w:tcPr>
            <w:tcW w:w="1224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2"/>
              <w:spacing w:before="1"/>
              <w:jc w:val="center"/>
              <w:rPr>
                <w:rFonts w:hint="default" w:ascii="Palatino Linotype" w:hAnsi="Palatino Linotype" w:cs="Palatino Linotype"/>
                <w:b/>
                <w:i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i/>
                <w:sz w:val="20"/>
                <w:szCs w:val="20"/>
              </w:rPr>
              <w:t>p</w:t>
            </w:r>
          </w:p>
        </w:tc>
        <w:tc>
          <w:tcPr>
            <w:tcW w:w="129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2"/>
              <w:ind w:right="157"/>
              <w:jc w:val="center"/>
              <w:rPr>
                <w:rFonts w:hint="default" w:ascii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sz w:val="20"/>
                <w:szCs w:val="20"/>
              </w:rPr>
              <w:t>OR</w:t>
            </w:r>
          </w:p>
        </w:tc>
        <w:tc>
          <w:tcPr>
            <w:tcW w:w="2165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2"/>
              <w:ind w:right="167"/>
              <w:jc w:val="center"/>
              <w:rPr>
                <w:rFonts w:hint="default" w:ascii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sz w:val="20"/>
                <w:szCs w:val="20"/>
              </w:rPr>
              <w:t>95%CI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  <w:jc w:val="center"/>
        </w:trPr>
        <w:tc>
          <w:tcPr>
            <w:tcW w:w="3036" w:type="dxa"/>
            <w:tcBorders>
              <w:top w:val="single" w:color="000000" w:sz="12" w:space="0"/>
              <w:left w:val="nil"/>
              <w:bottom w:val="nil"/>
              <w:right w:val="nil"/>
            </w:tcBorders>
          </w:tcPr>
          <w:p>
            <w:pPr>
              <w:pStyle w:val="12"/>
              <w:spacing w:before="32"/>
              <w:ind w:left="114"/>
              <w:jc w:val="center"/>
              <w:rPr>
                <w:rFonts w:hint="default" w:ascii="Palatino Linotype" w:hAnsi="Palatino Linotype" w:eastAsia="宋体" w:cs="Palatino Linotype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293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12"/>
              <w:spacing w:before="32"/>
              <w:jc w:val="center"/>
              <w:rPr>
                <w:rFonts w:hint="default" w:ascii="Palatino Linotype" w:hAnsi="Palatino Linotype" w:eastAsia="宋体" w:cs="Palatino Linotype"/>
                <w:b/>
                <w:sz w:val="20"/>
                <w:szCs w:val="20"/>
                <w:lang w:eastAsia="zh-CN"/>
              </w:rPr>
            </w:pPr>
            <w:r>
              <w:rPr>
                <w:rFonts w:hint="default" w:ascii="Palatino Linotype" w:hAnsi="Palatino Linotype" w:eastAsia="宋体" w:cs="Palatino Linotype"/>
                <w:bCs/>
                <w:sz w:val="20"/>
                <w:szCs w:val="20"/>
                <w:lang w:eastAsia="zh-CN"/>
              </w:rPr>
              <w:t>n=290</w:t>
            </w:r>
          </w:p>
        </w:tc>
        <w:tc>
          <w:tcPr>
            <w:tcW w:w="2586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sz w:val="20"/>
                <w:szCs w:val="20"/>
              </w:rPr>
              <w:t>0.395</w:t>
            </w:r>
          </w:p>
        </w:tc>
        <w:tc>
          <w:tcPr>
            <w:tcW w:w="1224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0.530</w:t>
            </w:r>
          </w:p>
        </w:tc>
        <w:tc>
          <w:tcPr>
            <w:tcW w:w="1296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  <w:jc w:val="center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29"/>
              <w:ind w:right="139"/>
              <w:jc w:val="center"/>
              <w:rPr>
                <w:rFonts w:hint="default" w:ascii="Palatino Linotype" w:hAnsi="Palatino Linotype" w:eastAsia="宋体" w:cs="Palatino Linotype"/>
                <w:bCs/>
                <w:sz w:val="20"/>
                <w:szCs w:val="20"/>
                <w:lang w:eastAsia="zh-CN"/>
              </w:rPr>
            </w:pPr>
            <w:r>
              <w:rPr>
                <w:rFonts w:hint="default" w:ascii="Palatino Linotype" w:hAnsi="Palatino Linotype" w:eastAsia="宋体" w:cs="Palatino Linotype"/>
                <w:bCs/>
                <w:sz w:val="20"/>
                <w:szCs w:val="20"/>
                <w:lang w:eastAsia="zh-CN"/>
              </w:rPr>
              <w:t>Diarrhea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2"/>
              <w:spacing w:before="29"/>
              <w:ind w:right="139"/>
              <w:jc w:val="center"/>
              <w:rPr>
                <w:rFonts w:hint="default" w:ascii="Palatino Linotype" w:hAnsi="Palatino Linotype" w:eastAsia="宋体" w:cs="Palatino Linotype"/>
                <w:bCs/>
                <w:sz w:val="20"/>
                <w:szCs w:val="20"/>
                <w:lang w:eastAsia="zh-CN"/>
              </w:rPr>
            </w:pPr>
            <w:r>
              <w:rPr>
                <w:rFonts w:hint="default" w:ascii="Palatino Linotype" w:hAnsi="Palatino Linotype" w:eastAsia="宋体" w:cs="Palatino Linotype"/>
                <w:bCs/>
                <w:sz w:val="20"/>
                <w:szCs w:val="20"/>
                <w:lang w:eastAsia="zh-CN"/>
              </w:rPr>
              <w:t>116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sz w:val="20"/>
                <w:szCs w:val="20"/>
              </w:rPr>
              <w:t>53（42.1%）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sz w:val="20"/>
                <w:szCs w:val="20"/>
              </w:rPr>
              <w:t>63（38.4%）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sz w:val="20"/>
                <w:szCs w:val="20"/>
              </w:rPr>
              <w:t>1.095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sz w:val="20"/>
                <w:szCs w:val="20"/>
              </w:rPr>
              <w:t>0.826-1.452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036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2"/>
              <w:spacing w:before="29"/>
              <w:ind w:right="139"/>
              <w:jc w:val="center"/>
              <w:rPr>
                <w:rFonts w:hint="default" w:ascii="Palatino Linotype" w:hAnsi="Palatino Linotype" w:eastAsia="宋体" w:cs="Palatino Linotype"/>
                <w:bCs/>
                <w:sz w:val="20"/>
                <w:szCs w:val="20"/>
                <w:lang w:eastAsia="zh-CN"/>
              </w:rPr>
            </w:pPr>
            <w:r>
              <w:rPr>
                <w:rFonts w:hint="default" w:ascii="Palatino Linotype" w:hAnsi="Palatino Linotype" w:eastAsia="宋体" w:cs="Palatino Linotype"/>
                <w:bCs/>
                <w:color w:val="666666"/>
                <w:sz w:val="20"/>
                <w:szCs w:val="20"/>
                <w:shd w:val="clear" w:color="auto" w:fill="FFFFFF"/>
              </w:rPr>
              <w:t>No</w:t>
            </w:r>
            <w:r>
              <w:rPr>
                <w:rFonts w:hint="default" w:ascii="Palatino Linotype" w:hAnsi="Palatino Linotype" w:eastAsia="宋体" w:cs="Palatino Linotype"/>
                <w:bCs/>
                <w:color w:val="666666"/>
                <w:sz w:val="20"/>
                <w:szCs w:val="20"/>
                <w:shd w:val="clear" w:color="auto" w:fill="FFFFFF"/>
                <w:lang w:eastAsia="zh-CN"/>
              </w:rPr>
              <w:t>n-</w:t>
            </w:r>
            <w:r>
              <w:rPr>
                <w:rFonts w:hint="default" w:ascii="Palatino Linotype" w:hAnsi="Palatino Linotype" w:eastAsia="宋体" w:cs="Palatino Linotype"/>
                <w:bCs/>
                <w:color w:val="666666"/>
                <w:sz w:val="20"/>
                <w:szCs w:val="20"/>
                <w:shd w:val="clear" w:color="auto" w:fill="FFFFFF"/>
              </w:rPr>
              <w:t>diarrhea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2"/>
              <w:spacing w:before="29"/>
              <w:ind w:right="139"/>
              <w:jc w:val="center"/>
              <w:rPr>
                <w:rFonts w:hint="default" w:ascii="Palatino Linotype" w:hAnsi="Palatino Linotype" w:eastAsia="宋体" w:cs="Palatino Linotype"/>
                <w:bCs/>
                <w:color w:val="666666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default" w:ascii="Palatino Linotype" w:hAnsi="Palatino Linotype" w:eastAsia="宋体" w:cs="Palatino Linotype"/>
                <w:bCs/>
                <w:color w:val="666666"/>
                <w:sz w:val="20"/>
                <w:szCs w:val="20"/>
                <w:shd w:val="clear" w:color="auto" w:fill="FFFFFF"/>
                <w:lang w:eastAsia="zh-CN"/>
              </w:rPr>
              <w:t>174</w:t>
            </w:r>
          </w:p>
        </w:tc>
        <w:tc>
          <w:tcPr>
            <w:tcW w:w="2586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sz w:val="20"/>
                <w:szCs w:val="20"/>
              </w:rPr>
              <w:t>73（57.9%）</w:t>
            </w:r>
          </w:p>
        </w:tc>
        <w:tc>
          <w:tcPr>
            <w:tcW w:w="2081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sz w:val="20"/>
                <w:szCs w:val="20"/>
              </w:rPr>
              <w:t>101（61.6%）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sz w:val="20"/>
                <w:szCs w:val="20"/>
              </w:rPr>
              <w:t>0.941</w:t>
            </w:r>
          </w:p>
        </w:tc>
        <w:tc>
          <w:tcPr>
            <w:tcW w:w="2165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0.777-1.140</w:t>
            </w:r>
          </w:p>
        </w:tc>
      </w:tr>
    </w:tbl>
    <w:p>
      <w:pPr>
        <w:rPr>
          <w:rFonts w:hint="default" w:ascii="Palatino Linotype" w:hAnsi="Palatino Linotype" w:cs="Palatino Linotype"/>
          <w:b/>
          <w:bCs/>
          <w:sz w:val="20"/>
          <w:szCs w:val="20"/>
          <w:lang w:bidi="ar"/>
        </w:rPr>
        <w:sectPr>
          <w:pgSz w:w="16838" w:h="11906" w:orient="landscape"/>
          <w:pgMar w:top="720" w:right="720" w:bottom="720" w:left="720" w:header="851" w:footer="992" w:gutter="0"/>
          <w:lnNumType w:countBy="1" w:restart="continuous"/>
          <w:cols w:space="0" w:num="1"/>
          <w:rtlGutter w:val="0"/>
          <w:docGrid w:type="lines" w:linePitch="317" w:charSpace="0"/>
        </w:sectPr>
      </w:pPr>
    </w:p>
    <w:p>
      <w:pPr>
        <w:rPr>
          <w:rFonts w:hint="default" w:ascii="Palatino Linotype" w:hAnsi="Palatino Linotype" w:cs="Palatino Linotype"/>
          <w:b/>
          <w:bCs/>
          <w:sz w:val="20"/>
          <w:szCs w:val="20"/>
          <w:lang w:bidi="ar"/>
        </w:rPr>
      </w:pPr>
      <w:r>
        <w:rPr>
          <w:rFonts w:hint="default" w:ascii="Palatino Linotype" w:hAnsi="Palatino Linotype" w:cs="Palatino Linotype"/>
          <w:b/>
          <w:bCs/>
          <w:sz w:val="20"/>
          <w:szCs w:val="20"/>
          <w:lang w:bidi="ar"/>
        </w:rPr>
        <w:t xml:space="preserve">Table </w:t>
      </w:r>
      <w:r>
        <w:rPr>
          <w:rFonts w:hint="default" w:ascii="Palatino Linotype" w:hAnsi="Palatino Linotype" w:cs="Palatino Linotype"/>
          <w:b/>
          <w:bCs/>
          <w:sz w:val="20"/>
          <w:szCs w:val="20"/>
          <w:lang w:val="en-US" w:eastAsia="zh-CN" w:bidi="ar"/>
        </w:rPr>
        <w:t>S4</w:t>
      </w:r>
      <w:r>
        <w:rPr>
          <w:rFonts w:hint="default" w:ascii="Palatino Linotype" w:hAnsi="Palatino Linotype" w:cs="Palatino Linotype"/>
          <w:b/>
          <w:bCs/>
          <w:sz w:val="20"/>
          <w:szCs w:val="20"/>
          <w:lang w:bidi="ar"/>
        </w:rPr>
        <w:t xml:space="preserve"> The reference sequence involved and its related information</w:t>
      </w:r>
    </w:p>
    <w:tbl>
      <w:tblPr>
        <w:tblStyle w:val="7"/>
        <w:tblW w:w="1587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221"/>
        <w:gridCol w:w="3209"/>
        <w:gridCol w:w="1538"/>
        <w:gridCol w:w="2255"/>
        <w:gridCol w:w="2294"/>
        <w:gridCol w:w="21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2158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NCBI No.</w:t>
            </w:r>
          </w:p>
        </w:tc>
        <w:tc>
          <w:tcPr>
            <w:tcW w:w="2188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Country</w:t>
            </w:r>
          </w:p>
        </w:tc>
        <w:tc>
          <w:tcPr>
            <w:tcW w:w="316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Collection time</w:t>
            </w:r>
          </w:p>
        </w:tc>
        <w:tc>
          <w:tcPr>
            <w:tcW w:w="5996" w:type="dxa"/>
            <w:gridSpan w:val="3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Where the reference sequence is used in the text</w:t>
            </w:r>
          </w:p>
        </w:tc>
        <w:tc>
          <w:tcPr>
            <w:tcW w:w="2134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Virus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NC045512.2</w:t>
            </w:r>
          </w:p>
        </w:tc>
        <w:tc>
          <w:tcPr>
            <w:tcW w:w="2188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China</w:t>
            </w:r>
          </w:p>
        </w:tc>
        <w:tc>
          <w:tcPr>
            <w:tcW w:w="3161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2019</w:t>
            </w:r>
          </w:p>
        </w:tc>
        <w:tc>
          <w:tcPr>
            <w:tcW w:w="1515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21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2019-nCoV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NC004718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Canada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SARS-CoV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MZ724506.1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India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2021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SARS-CoV-2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KC164505.2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2012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MERS-CoV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KP981644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Italy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NC038861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2000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TEGV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NC002306.3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MW030110.1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2002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MW030109.1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MW030108.1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2021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MT444152.1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2019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MT239440.1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MT239439.1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MN165107.1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MG893511.1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Germany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2012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KY566211.1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KY566210.1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KY566209.1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KY292377.1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KX722530.1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Denmark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KX722529.1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Belgium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KU215419.1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Belgium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KP143512.1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KP143511.1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KP143510.1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KP143509.1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KP143508.1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KP143507.1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KF530123.1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2010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JN634064.1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2011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JN183883.1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2010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JN183882.1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2010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HQ392472.1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2010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HQ392471.1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HQ392470.1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HQ392469.1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HQ012372.1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HQ012371.1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HQ012370.1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HQ012369.1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HQ012368.1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HQ012367.1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GU553362.1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GU553361.1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GQ152141.1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China/Taiwan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FJ938062.1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FJ938061.1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1998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FJ938060.1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1993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FJ938059.1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FJ938058.1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FJ938057.1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FJ938056.1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FJ938055.1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FJ938054.1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FJ938053.1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FJ938052.1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FJ938051.1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2002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EU186072.1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1970s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DQ848678.1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DQ286389.1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DQ010921.1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AY994055.1</w:t>
            </w:r>
          </w:p>
        </w:tc>
        <w:tc>
          <w:tcPr>
            <w:tcW w:w="2188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USA</w:t>
            </w:r>
          </w:p>
        </w:tc>
        <w:tc>
          <w:tcPr>
            <w:tcW w:w="3161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2008</w:t>
            </w:r>
          </w:p>
        </w:tc>
        <w:tc>
          <w:tcPr>
            <w:tcW w:w="1515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Mutation</w:t>
            </w:r>
          </w:p>
        </w:tc>
        <w:tc>
          <w:tcPr>
            <w:tcW w:w="2221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260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2134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hint="default" w:ascii="Palatino Linotype" w:hAnsi="Palatino Linotype" w:cs="Palatino Linotype"/>
                <w:color w:val="000000"/>
                <w:kern w:val="0"/>
                <w:sz w:val="20"/>
                <w:szCs w:val="20"/>
                <w:lang w:bidi="ar"/>
              </w:rPr>
              <w:t>FIPV</w:t>
            </w:r>
          </w:p>
        </w:tc>
      </w:tr>
    </w:tbl>
    <w:p>
      <w:pPr>
        <w:rPr>
          <w:rFonts w:hint="default" w:ascii="Palatino Linotype" w:hAnsi="Palatino Linotype" w:cs="Palatino Linotype"/>
          <w:b/>
          <w:bCs/>
          <w:sz w:val="20"/>
          <w:szCs w:val="20"/>
          <w:lang w:bidi="ar"/>
        </w:rPr>
      </w:pPr>
      <w:r>
        <w:rPr>
          <w:rFonts w:hint="default" w:ascii="Palatino Linotype" w:hAnsi="Palatino Linotype" w:cs="Palatino Linotype"/>
          <w:b/>
          <w:bCs/>
          <w:sz w:val="20"/>
          <w:szCs w:val="20"/>
          <w:lang w:bidi="ar"/>
        </w:rPr>
        <w:br w:type="page"/>
      </w:r>
    </w:p>
    <w:p>
      <w:pPr>
        <w:rPr>
          <w:rFonts w:hint="default" w:ascii="Palatino Linotype" w:hAnsi="Palatino Linotype" w:eastAsia="宋体" w:cs="Palatino Linotype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Palatino Linotype" w:hAnsi="Palatino Linotype" w:eastAsia="宋体" w:cs="Palatino Linotype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Table S</w:t>
      </w:r>
      <w:r>
        <w:rPr>
          <w:rFonts w:hint="default" w:ascii="Palatino Linotype" w:hAnsi="Palatino Linotype" w:cs="Palatino Linotype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5</w:t>
      </w:r>
      <w:r>
        <w:rPr>
          <w:rFonts w:hint="default" w:ascii="Palatino Linotype" w:hAnsi="Palatino Linotype" w:eastAsia="宋体" w:cs="Palatino Linotype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 xml:space="preserve"> Abbreviations contained in article. </w:t>
      </w:r>
    </w:p>
    <w:tbl>
      <w:tblPr>
        <w:tblStyle w:val="8"/>
        <w:tblW w:w="4999" w:type="pct"/>
        <w:jc w:val="center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5394"/>
        <w:gridCol w:w="3901"/>
        <w:gridCol w:w="3755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Abbreviations</w:t>
            </w:r>
          </w:p>
        </w:tc>
        <w:tc>
          <w:tcPr>
            <w:tcW w:w="1727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Full name</w:t>
            </w:r>
          </w:p>
        </w:tc>
        <w:tc>
          <w:tcPr>
            <w:tcW w:w="1249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Abbreviations</w:t>
            </w:r>
          </w:p>
        </w:tc>
        <w:tc>
          <w:tcPr>
            <w:tcW w:w="1202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Full name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3′-UTR</w:t>
            </w:r>
          </w:p>
        </w:tc>
        <w:tc>
          <w:tcPr>
            <w:tcW w:w="1727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3'-Untranslated region</w:t>
            </w:r>
          </w:p>
        </w:tc>
        <w:tc>
          <w:tcPr>
            <w:tcW w:w="1249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A or Ala</w:t>
            </w:r>
          </w:p>
        </w:tc>
        <w:tc>
          <w:tcPr>
            <w:tcW w:w="1202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Alanine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A/G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Albumin/Globulin ratio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R or Arg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Arginine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CCoV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Canine coronavirus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N or Asn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Asparagine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CI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Confidence Interval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D or Asp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Aspartic acid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COVID-19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Coronavirus disease 2019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C or Cys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Cysteine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FCoV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Feline coronavirus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E or Glu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Glutamic acid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FcwF-4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/>
                <w:iCs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Felis</w:t>
            </w:r>
            <w:r>
              <w:rPr>
                <w:rStyle w:val="17"/>
                <w:rFonts w:hint="default" w:ascii="Palatino Linotype" w:hAnsi="Palatino Linotype" w:eastAsia="宋体" w:cs="Palatino Linotype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Style w:val="18"/>
                <w:rFonts w:hint="default" w:ascii="Palatino Linotype" w:hAnsi="Palatino Linotype" w:eastAsia="宋体" w:cs="Palatino Linotype"/>
                <w:sz w:val="20"/>
                <w:szCs w:val="20"/>
                <w:lang w:val="en-US" w:eastAsia="zh-CN" w:bidi="ar"/>
              </w:rPr>
              <w:t>catus</w:t>
            </w:r>
            <w:r>
              <w:rPr>
                <w:rStyle w:val="17"/>
                <w:rFonts w:hint="default" w:ascii="Palatino Linotype" w:hAnsi="Palatino Linotype" w:eastAsia="宋体" w:cs="Palatino Linotype"/>
                <w:sz w:val="20"/>
                <w:szCs w:val="20"/>
                <w:lang w:val="en-US" w:eastAsia="zh-CN" w:bidi="ar"/>
              </w:rPr>
              <w:t xml:space="preserve"> whole fetus-4 cells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Q or Gln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Glutamine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FECV</w:t>
            </w:r>
            <w:bookmarkStart w:id="0" w:name="_GoBack"/>
            <w:bookmarkEnd w:id="0"/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Feline enteric coronavirus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G or Gly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Glycine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FIP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Feline infectious peritonitis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H or His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Histidine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FIPV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Feline infectious peritonitis virus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W or Trp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Iryptophan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IF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Immunofluorescence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I or Ile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Isoleucine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IHC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Immunohistochemistry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L or Leu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Leucine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Months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Y or Tyr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Lyrosine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Years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K or Lys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Lysine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OR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Odds ratio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M or  Met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Methionine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χ2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Chi-square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F or Phe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Phenylalanine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Ref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Reference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P or Pro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Proline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ORFs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Open reading frames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S or Ser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Serine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RPP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Arginine-Proline-Proline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T or Thr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Threonine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PCR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Polymerase Chain Reaction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amino acid V or Val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Valine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RT-PCR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Reverse transcription </w:t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polymerase chain reaction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 base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Adenine </w:t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deoxyribonucleic acid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RT-nPCR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Reverse transcription-nested </w:t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polymerase chain reaction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 base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333333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Cytosine </w:t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deoxyribonucleic acid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TGEV</w:t>
            </w:r>
          </w:p>
        </w:tc>
        <w:tc>
          <w:tcPr>
            <w:tcW w:w="17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Porcine transmissible </w:t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gastroenteritis virus</w:t>
            </w:r>
          </w:p>
        </w:tc>
        <w:tc>
          <w:tcPr>
            <w:tcW w:w="12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 base</w:t>
            </w:r>
          </w:p>
        </w:tc>
        <w:tc>
          <w:tcPr>
            <w:tcW w:w="12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Guanine </w:t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deoxyribonucleic acid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NCBI</w:t>
            </w:r>
          </w:p>
        </w:tc>
        <w:tc>
          <w:tcPr>
            <w:tcW w:w="1727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National Center of </w:t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Biotechnology Information</w:t>
            </w:r>
          </w:p>
        </w:tc>
        <w:tc>
          <w:tcPr>
            <w:tcW w:w="1249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 base</w:t>
            </w:r>
          </w:p>
        </w:tc>
        <w:tc>
          <w:tcPr>
            <w:tcW w:w="1202" w:type="pc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Thymidine </w:t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deoxyribonucleic acid</w:t>
            </w:r>
          </w:p>
        </w:tc>
      </w:tr>
    </w:tbl>
    <w:p>
      <w:pPr>
        <w:rPr>
          <w:rFonts w:hint="default" w:ascii="Palatino Linotype" w:hAnsi="Palatino Linotype" w:eastAsia="宋体" w:cs="Palatino Linotype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rPr>
          <w:rFonts w:ascii="Arial" w:hAnsi="Arial" w:cs="Arial"/>
          <w:b/>
          <w:bCs/>
          <w:sz w:val="20"/>
          <w:szCs w:val="20"/>
          <w:lang w:bidi="ar"/>
        </w:rPr>
      </w:pPr>
    </w:p>
    <w:sectPr>
      <w:pgSz w:w="16838" w:h="11906" w:orient="landscape"/>
      <w:pgMar w:top="720" w:right="720" w:bottom="720" w:left="720" w:header="851" w:footer="992" w:gutter="0"/>
      <w:lnNumType w:countBy="1" w:restart="continuous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6F"/>
    <w:rsid w:val="003513A1"/>
    <w:rsid w:val="00537944"/>
    <w:rsid w:val="008E49EC"/>
    <w:rsid w:val="009C1A35"/>
    <w:rsid w:val="00AB40DB"/>
    <w:rsid w:val="00B41C6F"/>
    <w:rsid w:val="00CE5BC4"/>
    <w:rsid w:val="158400C8"/>
    <w:rsid w:val="1D5D79BE"/>
    <w:rsid w:val="200513B4"/>
    <w:rsid w:val="21773C5C"/>
    <w:rsid w:val="278A15C0"/>
    <w:rsid w:val="27922538"/>
    <w:rsid w:val="2C8C0797"/>
    <w:rsid w:val="2EDE6EC8"/>
    <w:rsid w:val="2FD80338"/>
    <w:rsid w:val="38974DDE"/>
    <w:rsid w:val="5A9F4ED1"/>
    <w:rsid w:val="5C10312D"/>
    <w:rsid w:val="5F1D3F54"/>
    <w:rsid w:val="64F90D4B"/>
    <w:rsid w:val="67DE630F"/>
    <w:rsid w:val="6CB80E08"/>
    <w:rsid w:val="6FA3661E"/>
    <w:rsid w:val="72E27199"/>
    <w:rsid w:val="7322264B"/>
    <w:rsid w:val="77277166"/>
    <w:rsid w:val="789F00F7"/>
    <w:rsid w:val="7D5C12B5"/>
    <w:rsid w:val="7F8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qFormat/>
    <w:uiPriority w:val="0"/>
    <w:pPr>
      <w:jc w:val="left"/>
    </w:p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3"/>
    <w:next w:val="3"/>
    <w:link w:val="16"/>
    <w:qFormat/>
    <w:uiPriority w:val="0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line number"/>
    <w:basedOn w:val="9"/>
    <w:qFormat/>
    <w:uiPriority w:val="0"/>
  </w:style>
  <w:style w:type="character" w:styleId="11">
    <w:name w:val="annotation reference"/>
    <w:basedOn w:val="9"/>
    <w:qFormat/>
    <w:uiPriority w:val="0"/>
    <w:rPr>
      <w:sz w:val="21"/>
      <w:szCs w:val="21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/>
      <w:lang w:eastAsia="en-US" w:bidi="en-US"/>
    </w:rPr>
  </w:style>
  <w:style w:type="character" w:customStyle="1" w:styleId="13">
    <w:name w:val="页眉 字符"/>
    <w:basedOn w:val="9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4">
    <w:name w:val="页脚 字符"/>
    <w:basedOn w:val="9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5">
    <w:name w:val="批注文字 字符"/>
    <w:basedOn w:val="9"/>
    <w:link w:val="3"/>
    <w:qFormat/>
    <w:uiPriority w:val="0"/>
    <w:rPr>
      <w:rFonts w:ascii="Calibri" w:hAnsi="Calibri" w:eastAsia="宋体" w:cs="Times New Roman"/>
      <w:kern w:val="2"/>
      <w:sz w:val="21"/>
      <w:szCs w:val="24"/>
    </w:rPr>
  </w:style>
  <w:style w:type="character" w:customStyle="1" w:styleId="16">
    <w:name w:val="批注主题 字符"/>
    <w:basedOn w:val="15"/>
    <w:link w:val="6"/>
    <w:qFormat/>
    <w:uiPriority w:val="0"/>
    <w:rPr>
      <w:rFonts w:ascii="Calibri" w:hAnsi="Calibri" w:eastAsia="宋体" w:cs="Times New Roman"/>
      <w:b/>
      <w:bCs/>
      <w:kern w:val="2"/>
      <w:sz w:val="21"/>
      <w:szCs w:val="24"/>
    </w:rPr>
  </w:style>
  <w:style w:type="character" w:customStyle="1" w:styleId="17">
    <w:name w:val="font21"/>
    <w:basedOn w:val="9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8">
    <w:name w:val="font01"/>
    <w:basedOn w:val="9"/>
    <w:qFormat/>
    <w:uiPriority w:val="0"/>
    <w:rPr>
      <w:rFonts w:hint="default" w:ascii="Times New Roman" w:hAnsi="Times New Roman" w:cs="Times New Roman"/>
      <w:i/>
      <w:iCs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FCE328-44E2-4708-B52A-1B5147A1FE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1879</Words>
  <Characters>11118</Characters>
  <Lines>232</Lines>
  <Paragraphs>163</Paragraphs>
  <TotalTime>6</TotalTime>
  <ScaleCrop>false</ScaleCrop>
  <LinksUpToDate>false</LinksUpToDate>
  <CharactersWithSpaces>11460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2022-01-22T06:55:00Z</dcterms:created>
  <dc:creator>apple</dc:creator>
  <cp:lastModifiedBy>〇〇丫H</cp:lastModifiedBy>
  <cp:lastPrinted>2022-01-20T17:04:00Z</cp:lastPrinted>
  <dcterms:modified xsi:type="dcterms:W3CDTF">2022-03-29T10:27:04Z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100C8777A8494B2295262762156F940D</vt:lpwstr>
  </property>
</Properties>
</file>