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CA" w:rsidRDefault="00017822" w:rsidP="00017822">
      <w:pPr>
        <w:pStyle w:val="1"/>
      </w:pPr>
      <w:r>
        <w:rPr>
          <w:rFonts w:hint="eastAsia"/>
        </w:rPr>
        <w:t>层次分析法（A</w:t>
      </w:r>
      <w:r>
        <w:t>HP</w:t>
      </w:r>
      <w:r>
        <w:rPr>
          <w:rFonts w:hint="eastAsia"/>
        </w:rPr>
        <w:t>）</w:t>
      </w:r>
    </w:p>
    <w:p w:rsidR="00017822" w:rsidRDefault="00017822" w:rsidP="00017822">
      <w:pPr>
        <w:pStyle w:val="2"/>
      </w:pPr>
      <w:r>
        <w:rPr>
          <w:rFonts w:hint="eastAsia"/>
        </w:rPr>
        <w:t>层次分析法的应用场景</w:t>
      </w:r>
    </w:p>
    <w:p w:rsidR="00D80503" w:rsidRDefault="00D80503" w:rsidP="00F24B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层次分析法是一种决策方法，</w:t>
      </w:r>
      <w:r w:rsidRPr="00F24B1A">
        <w:rPr>
          <w:rFonts w:hint="eastAsia"/>
          <w:b/>
        </w:rPr>
        <w:t>它是将半定性，半定量问题转化为定量问题的有效途径</w:t>
      </w:r>
      <w:r>
        <w:rPr>
          <w:rFonts w:hint="eastAsia"/>
        </w:rPr>
        <w:t>。它将各种因素层次化，并逐层比较多种关联因素，为分析事物和预测事物发展提供比较可靠的定量依据。</w:t>
      </w:r>
    </w:p>
    <w:p w:rsidR="00F24B1A" w:rsidRDefault="00EB39B5" w:rsidP="00F24B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应用场景：</w:t>
      </w:r>
    </w:p>
    <w:p w:rsidR="00EB39B5" w:rsidRDefault="00EB39B5" w:rsidP="00EB39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评价，评判类。例如奥运会的评价，彩票方案的评价，导师和学生的相互选择，城市空气质量分析等等。</w:t>
      </w:r>
    </w:p>
    <w:p w:rsidR="00EB39B5" w:rsidRDefault="00EB39B5" w:rsidP="00EB39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资源分配和决策类</w:t>
      </w:r>
      <w:r w:rsidR="00705F18">
        <w:rPr>
          <w:rFonts w:hint="eastAsia"/>
        </w:rPr>
        <w:t>的题目。可将此类题目转换为评价类题目。</w:t>
      </w:r>
      <w:r w:rsidR="002A65BF">
        <w:rPr>
          <w:rFonts w:hint="eastAsia"/>
        </w:rPr>
        <w:t>例如</w:t>
      </w:r>
      <w:proofErr w:type="gramStart"/>
      <w:r w:rsidR="002A65BF">
        <w:rPr>
          <w:rFonts w:hint="eastAsia"/>
        </w:rPr>
        <w:t>一</w:t>
      </w:r>
      <w:proofErr w:type="gramEnd"/>
      <w:r w:rsidR="002A65BF">
        <w:rPr>
          <w:rFonts w:hint="eastAsia"/>
        </w:rPr>
        <w:t>笔资金的分配，旅游景点的选择（决策），电脑的挑选。</w:t>
      </w:r>
    </w:p>
    <w:p w:rsidR="00DA76D5" w:rsidRDefault="00DA76D5" w:rsidP="00EB39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一些优化问题，尤其是多目标优化问题。</w:t>
      </w:r>
    </w:p>
    <w:p w:rsidR="007E3E1F" w:rsidRDefault="007E3E1F" w:rsidP="007E3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层次分析法的步骤</w:t>
      </w:r>
    </w:p>
    <w:p w:rsidR="007E3E1F" w:rsidRDefault="007E3E1F" w:rsidP="007E3E1F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建立递阶层次结构</w:t>
      </w:r>
      <w:proofErr w:type="gramEnd"/>
      <w:r>
        <w:rPr>
          <w:rFonts w:hint="eastAsia"/>
        </w:rPr>
        <w:t>模型</w:t>
      </w:r>
    </w:p>
    <w:p w:rsidR="007E3E1F" w:rsidRDefault="007E3E1F" w:rsidP="007E3E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构造出各个层次的所有判断矩阵</w:t>
      </w:r>
    </w:p>
    <w:p w:rsidR="007E3E1F" w:rsidRDefault="007E3E1F" w:rsidP="007E3E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层次单排</w:t>
      </w:r>
      <w:proofErr w:type="gramStart"/>
      <w:r>
        <w:rPr>
          <w:rFonts w:hint="eastAsia"/>
        </w:rPr>
        <w:t>续以及</w:t>
      </w:r>
      <w:proofErr w:type="gramEnd"/>
      <w:r>
        <w:rPr>
          <w:rFonts w:hint="eastAsia"/>
        </w:rPr>
        <w:t>一致性检验</w:t>
      </w:r>
    </w:p>
    <w:p w:rsidR="007E3E1F" w:rsidRDefault="007E3E1F" w:rsidP="007E3E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层次总排序以及一致性检验</w:t>
      </w:r>
    </w:p>
    <w:p w:rsidR="007E3E1F" w:rsidRDefault="007E3E1F" w:rsidP="007E3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步骤详细分析</w:t>
      </w:r>
    </w:p>
    <w:p w:rsidR="007E3E1F" w:rsidRDefault="007E3E1F" w:rsidP="007E3E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做一个归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处理，给目标层（</w:t>
      </w:r>
      <w:r>
        <w:t>choose a leader)分配值为1.0，然后将这一值作为权重，分配给不同因素，对应因素的权重大小代表该因素在整个选择过程中的重要性程度。</w:t>
      </w:r>
    </w:p>
    <w:p w:rsidR="007E3E1F" w:rsidRDefault="007E3E1F" w:rsidP="007E3E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然后对于候选方案，每一个标准再将其</w:t>
      </w:r>
      <w:proofErr w:type="gramStart"/>
      <w:r>
        <w:rPr>
          <w:rFonts w:hint="eastAsia"/>
        </w:rPr>
        <w:t>权重值分配给</w:t>
      </w:r>
      <w:proofErr w:type="gramEnd"/>
      <w:r>
        <w:rPr>
          <w:rFonts w:hint="eastAsia"/>
        </w:rPr>
        <w:t>所有的候选方案，每一方案获得权重值，来源于不同因素分得的权重值的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。最终获得的各个方案的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权重值的和依然为</w:t>
      </w:r>
      <w:r>
        <w:t>1</w:t>
      </w:r>
      <w:r w:rsidR="00CC6AE2">
        <w:rPr>
          <w:rFonts w:hint="eastAsia"/>
        </w:rPr>
        <w:t>。</w:t>
      </w:r>
    </w:p>
    <w:p w:rsidR="00224BAC" w:rsidRDefault="00224BAC" w:rsidP="00224BAC">
      <w:pPr>
        <w:pStyle w:val="a3"/>
        <w:ind w:left="845" w:firstLineChars="0" w:firstLine="0"/>
      </w:pPr>
      <w:r>
        <w:rPr>
          <w:noProof/>
        </w:rPr>
        <w:drawing>
          <wp:inline distT="0" distB="0" distL="0" distR="0">
            <wp:extent cx="3696428" cy="2844800"/>
            <wp:effectExtent l="0" t="0" r="0" b="0"/>
            <wp:docPr id="1" name="图片 1" descr="https://img-blog.csdn.net/20140220225745437?watermark/2/text/aHR0cDovL2Jsb2cuY3Nkbi5uZXQvbGVuZ3hpYW8xOTk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220225745437?watermark/2/text/aHR0cDovL2Jsb2cuY3Nkbi5uZXQvbGVuZ3hpYW8xOTk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20" cy="284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1F" w:rsidRDefault="007E3E1F" w:rsidP="007E3E1F">
      <w:pPr>
        <w:ind w:left="420"/>
      </w:pPr>
    </w:p>
    <w:p w:rsidR="0093166A" w:rsidRDefault="0093166A" w:rsidP="0093166A">
      <w:pPr>
        <w:ind w:left="420"/>
      </w:pPr>
      <w:r>
        <w:rPr>
          <w:rFonts w:hint="eastAsia"/>
        </w:rPr>
        <w:lastRenderedPageBreak/>
        <w:t>再例如：选工作时，工作待遇</w:t>
      </w:r>
      <w:r w:rsidR="0011349C">
        <w:rPr>
          <w:rFonts w:hint="eastAsia"/>
        </w:rPr>
        <w:t>比重</w:t>
      </w:r>
      <w:r>
        <w:rPr>
          <w:rFonts w:hint="eastAsia"/>
        </w:rPr>
        <w:t>为0.8，工作1待遇最好，工作2中级，工作3垃圾，所以可以分别将0.4，0.3，0.1分给工作1，2，3。</w:t>
      </w:r>
    </w:p>
    <w:p w:rsidR="004909C5" w:rsidRDefault="004909C5" w:rsidP="004909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构造比较矩阵。</w:t>
      </w:r>
    </w:p>
    <w:p w:rsidR="004909C5" w:rsidRDefault="004909C5" w:rsidP="004909C5">
      <w:pPr>
        <w:ind w:left="425"/>
      </w:pPr>
      <w:r>
        <w:rPr>
          <w:noProof/>
        </w:rPr>
        <w:drawing>
          <wp:inline distT="0" distB="0" distL="0" distR="0">
            <wp:extent cx="5274310" cy="1874986"/>
            <wp:effectExtent l="0" t="0" r="2540" b="0"/>
            <wp:docPr id="2" name="图片 2" descr="https://img-blog.csdn.net/20140221010943953?watermark/2/text/aHR0cDovL2Jsb2cuY3Nkbi5uZXQvbGVuZ3hpYW8xOTk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221010943953?watermark/2/text/aHR0cDovL2Jsb2cuY3Nkbi5uZXQvbGVuZ3hpYW8xOTk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C5" w:rsidRDefault="004909C5" w:rsidP="004909C5">
      <w:pPr>
        <w:ind w:left="425"/>
      </w:pPr>
      <w:r>
        <w:rPr>
          <w:rFonts w:hint="eastAsia"/>
        </w:rPr>
        <w:t>正互反矩阵：</w:t>
      </w:r>
    </w:p>
    <w:p w:rsidR="004909C5" w:rsidRDefault="004909C5" w:rsidP="004909C5">
      <w:pPr>
        <w:ind w:left="425"/>
      </w:pPr>
      <w:r>
        <w:rPr>
          <w:noProof/>
        </w:rPr>
        <w:drawing>
          <wp:inline distT="0" distB="0" distL="0" distR="0">
            <wp:extent cx="5274310" cy="808943"/>
            <wp:effectExtent l="0" t="0" r="2540" b="0"/>
            <wp:docPr id="4" name="图片 4" descr="https://img-blog.csdn.net/20140221011153156?watermark/2/text/aHR0cDovL2Jsb2cuY3Nkbi5uZXQvbGVuZ3hpYW8xOTk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40221011153156?watermark/2/text/aHR0cDovL2Jsb2cuY3Nkbi5uZXQvbGVuZ3hpYW8xOTk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C5" w:rsidRDefault="002237E4" w:rsidP="004909C5">
      <w:pPr>
        <w:ind w:left="425"/>
      </w:pPr>
      <w:r>
        <w:rPr>
          <w:rFonts w:hint="eastAsia"/>
        </w:rPr>
        <w:t>因此，我们构造的比较矩阵应为正互反矩阵。</w:t>
      </w:r>
    </w:p>
    <w:p w:rsidR="00006EC9" w:rsidRDefault="00006EC9" w:rsidP="004909C5">
      <w:pPr>
        <w:ind w:left="425"/>
      </w:pPr>
      <w:r>
        <w:rPr>
          <w:rFonts w:hint="eastAsia"/>
        </w:rPr>
        <w:t>（先定义一下一致矩阵）</w:t>
      </w:r>
    </w:p>
    <w:p w:rsidR="00A1530C" w:rsidRDefault="00A1530C" w:rsidP="004909C5">
      <w:pPr>
        <w:ind w:left="425"/>
      </w:pPr>
      <w:r>
        <w:rPr>
          <w:noProof/>
        </w:rPr>
        <w:drawing>
          <wp:inline distT="0" distB="0" distL="0" distR="0">
            <wp:extent cx="5274310" cy="431815"/>
            <wp:effectExtent l="0" t="0" r="2540" b="6350"/>
            <wp:docPr id="5" name="图片 5" descr="https://img-blog.csdn.net/20140221011203796?watermark/2/text/aHR0cDovL2Jsb2cuY3Nkbi5uZXQvbGVuZ3hpYW8xOTk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40221011203796?watermark/2/text/aHR0cDovL2Jsb2cuY3Nkbi5uZXQvbGVuZ3hpYW8xOTk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0C" w:rsidRDefault="00A1530C" w:rsidP="004909C5">
      <w:pPr>
        <w:ind w:left="425"/>
      </w:pPr>
      <w:r>
        <w:rPr>
          <w:rFonts w:hint="eastAsia"/>
        </w:rPr>
        <w:t>※我们为了得到各种因素的权重，运用一致矩阵的性质：</w:t>
      </w:r>
    </w:p>
    <w:p w:rsidR="00A1530C" w:rsidRDefault="00A1530C" w:rsidP="004909C5">
      <w:pPr>
        <w:ind w:left="425"/>
      </w:pPr>
      <w:r>
        <w:rPr>
          <w:noProof/>
        </w:rPr>
        <w:drawing>
          <wp:inline distT="0" distB="0" distL="0" distR="0">
            <wp:extent cx="5274310" cy="430751"/>
            <wp:effectExtent l="0" t="0" r="2540" b="7620"/>
            <wp:docPr id="6" name="图片 6" descr="https://img-blog.csdn.net/20140221011213687?watermark/2/text/aHR0cDovL2Jsb2cuY3Nkbi5uZXQvbGVuZ3hpYW8xOTk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40221011213687?watermark/2/text/aHR0cDovL2Jsb2cuY3Nkbi5uZXQvbGVuZ3hpYW8xOTk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0C" w:rsidRDefault="00A1530C" w:rsidP="004909C5">
      <w:pPr>
        <w:ind w:left="425"/>
        <w:rPr>
          <w:b/>
        </w:rPr>
      </w:pPr>
      <w:r w:rsidRPr="00FF12C2">
        <w:rPr>
          <w:rFonts w:hint="eastAsia"/>
          <w:b/>
        </w:rPr>
        <w:t>因此，这里的w就是我们想知道的权重。所以通过</w:t>
      </w:r>
      <w:proofErr w:type="gramStart"/>
      <w:r w:rsidRPr="00FF12C2">
        <w:rPr>
          <w:rFonts w:hint="eastAsia"/>
          <w:b/>
        </w:rPr>
        <w:t>求比较</w:t>
      </w:r>
      <w:proofErr w:type="gramEnd"/>
      <w:r w:rsidRPr="00FF12C2">
        <w:rPr>
          <w:rFonts w:hint="eastAsia"/>
          <w:b/>
        </w:rPr>
        <w:t>矩阵的最大特征值所对应的特征向量，就可以获得不同因素的权重，进行归一化之后再使用。</w:t>
      </w:r>
    </w:p>
    <w:p w:rsidR="0077113E" w:rsidRDefault="0077113E" w:rsidP="004909C5">
      <w:pPr>
        <w:ind w:left="425"/>
        <w:rPr>
          <w:b/>
        </w:rPr>
      </w:pPr>
    </w:p>
    <w:p w:rsidR="0077113E" w:rsidRDefault="0077113E" w:rsidP="007D26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但是由于我们的比较矩阵不一定是一致矩阵，因此</w:t>
      </w:r>
      <w:r w:rsidR="007D260A">
        <w:rPr>
          <w:rFonts w:hint="eastAsia"/>
        </w:rPr>
        <w:t>，我们需要进行一致性检验。</w:t>
      </w:r>
    </w:p>
    <w:p w:rsidR="002E48C1" w:rsidRDefault="002E48C1" w:rsidP="002E48C1">
      <w:pPr>
        <w:pStyle w:val="a3"/>
        <w:ind w:left="840" w:firstLineChars="0" w:firstLine="0"/>
      </w:pPr>
      <w:r>
        <w:rPr>
          <w:rFonts w:hint="eastAsia"/>
        </w:rPr>
        <w:t>定义一致性指标:</w:t>
      </w:r>
    </w:p>
    <w:p w:rsidR="002E48C1" w:rsidRPr="00CD3843" w:rsidRDefault="002E48C1" w:rsidP="002E48C1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CI=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微软雅黑" w:hAnsi="微软雅黑" w:cs="微软雅黑" w:hint="eastAsia"/>
                </w:rPr>
                <m:t>λ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CD3843" w:rsidRDefault="00CD3843" w:rsidP="002E48C1">
      <w:pPr>
        <w:pStyle w:val="a3"/>
        <w:ind w:left="840" w:firstLineChars="0" w:firstLine="0"/>
      </w:pPr>
      <w:r>
        <w:t>CI</w:t>
      </w:r>
      <w:r>
        <w:rPr>
          <w:rFonts w:hint="eastAsia"/>
        </w:rPr>
        <w:t>=0则有完全的一致性，C</w:t>
      </w:r>
      <w:r>
        <w:t>I</w:t>
      </w:r>
      <w:r>
        <w:rPr>
          <w:rFonts w:hint="eastAsia"/>
        </w:rPr>
        <w:t>越大，则不一致性越严重。</w:t>
      </w:r>
    </w:p>
    <w:p w:rsidR="00CD41DF" w:rsidRDefault="00CD41DF" w:rsidP="002E48C1">
      <w:pPr>
        <w:pStyle w:val="a3"/>
        <w:ind w:left="840" w:firstLineChars="0" w:firstLine="0"/>
      </w:pPr>
      <w:r>
        <w:rPr>
          <w:rFonts w:hint="eastAsia"/>
        </w:rPr>
        <w:t>判断指标：</w:t>
      </w:r>
    </w:p>
    <w:p w:rsidR="00CD41DF" w:rsidRPr="00CD41DF" w:rsidRDefault="00CD41DF" w:rsidP="002E48C1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CI</m:t>
              </m:r>
            </m:num>
            <m:den>
              <m:r>
                <w:rPr>
                  <w:rFonts w:ascii="Cambria Math" w:hAnsi="Cambria Math"/>
                </w:rPr>
                <m:t>RI</m:t>
              </m:r>
            </m:den>
          </m:f>
        </m:oMath>
      </m:oMathPara>
    </w:p>
    <w:p w:rsidR="00CD41DF" w:rsidRDefault="00CD41DF" w:rsidP="002E48C1">
      <w:pPr>
        <w:pStyle w:val="a3"/>
        <w:ind w:left="840" w:firstLineChars="0" w:firstLine="0"/>
      </w:pPr>
      <w:r>
        <w:rPr>
          <w:rFonts w:hint="eastAsia"/>
        </w:rPr>
        <w:t>其中，R</w:t>
      </w:r>
      <w:r>
        <w:t>I</w:t>
      </w:r>
      <w:r>
        <w:rPr>
          <w:rFonts w:hint="eastAsia"/>
        </w:rPr>
        <w:t>由查表可知。若</w:t>
      </w:r>
      <w:r>
        <w:t>CR</w:t>
      </w:r>
      <w:r>
        <w:rPr>
          <w:rFonts w:hint="eastAsia"/>
        </w:rPr>
        <w:t>&lt;</w:t>
      </w:r>
      <w:r>
        <w:t>0.1</w:t>
      </w:r>
      <w:r>
        <w:rPr>
          <w:rFonts w:hint="eastAsia"/>
        </w:rPr>
        <w:t>，则认为矩阵通过一致性检验，否则不可。</w:t>
      </w:r>
    </w:p>
    <w:p w:rsidR="00220C87" w:rsidRDefault="00220C87" w:rsidP="002E48C1">
      <w:pPr>
        <w:pStyle w:val="a3"/>
        <w:ind w:left="840" w:firstLineChars="0" w:firstLine="0"/>
      </w:pPr>
    </w:p>
    <w:p w:rsidR="00220C87" w:rsidRDefault="00220C87" w:rsidP="002E48C1">
      <w:pPr>
        <w:pStyle w:val="a3"/>
        <w:ind w:left="840" w:firstLineChars="0" w:firstLine="0"/>
      </w:pPr>
    </w:p>
    <w:p w:rsidR="00220C87" w:rsidRDefault="00220C87" w:rsidP="00220C87"/>
    <w:p w:rsidR="00220C87" w:rsidRDefault="00220C87" w:rsidP="00220C87"/>
    <w:p w:rsidR="00220C87" w:rsidRDefault="00220C87" w:rsidP="00FD0A07">
      <w:pPr>
        <w:rPr>
          <w:rFonts w:hint="eastAsia"/>
        </w:rPr>
      </w:pPr>
      <w:r>
        <w:rPr>
          <w:rFonts w:hint="eastAsia"/>
        </w:rPr>
        <w:lastRenderedPageBreak/>
        <w:t>5、</w:t>
      </w:r>
      <w:r w:rsidR="0098424F">
        <w:rPr>
          <w:rFonts w:hint="eastAsia"/>
        </w:rPr>
        <w:t>处理单独一个比较矩阵的代码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</w:t>
      </w:r>
      <w:r w:rsidR="00B36738">
        <w:rPr>
          <w:rFonts w:hint="eastAsia"/>
        </w:rPr>
        <w:t>（本程序中含有文件读取操作以及矩阵特征值特征向量操作</w:t>
      </w:r>
      <w:r w:rsidR="00A8065D">
        <w:rPr>
          <w:rFonts w:hint="eastAsia"/>
        </w:rPr>
        <w:t>和查找操作</w:t>
      </w:r>
      <w:r w:rsidR="003C1AD6">
        <w:rPr>
          <w:rFonts w:hint="eastAsia"/>
        </w:rPr>
        <w:t>，这些操作要会搞</w:t>
      </w:r>
      <w:r w:rsidR="00B36738">
        <w:rPr>
          <w:rFonts w:hint="eastAsia"/>
        </w:rPr>
        <w:t>）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 xml:space="preserve">clear 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clc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设定比较矩阵：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>A</w:t>
      </w:r>
      <w:proofErr w:type="gramStart"/>
      <w:r w:rsidRPr="0098424F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98424F">
        <w:rPr>
          <w:rFonts w:ascii="Consolas" w:eastAsia="宋体" w:hAnsi="Consolas" w:cs="宋体"/>
          <w:color w:val="000000"/>
          <w:kern w:val="0"/>
          <w:szCs w:val="21"/>
        </w:rPr>
        <w:t>1 2 6;1/2 1 4;1/6 1/4 1];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权向量计算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Start"/>
      <w:r w:rsidRPr="0098424F">
        <w:rPr>
          <w:rFonts w:ascii="Consolas" w:eastAsia="宋体" w:hAnsi="Consolas" w:cs="宋体"/>
          <w:color w:val="000000"/>
          <w:kern w:val="0"/>
          <w:szCs w:val="21"/>
        </w:rPr>
        <w:t>n,n</w:t>
      </w:r>
      <w:proofErr w:type="spellEnd"/>
      <w:proofErr w:type="gramEnd"/>
      <w:r w:rsidRPr="0098424F">
        <w:rPr>
          <w:rFonts w:ascii="Consolas" w:eastAsia="宋体" w:hAnsi="Consolas" w:cs="宋体"/>
          <w:color w:val="000000"/>
          <w:kern w:val="0"/>
          <w:szCs w:val="21"/>
        </w:rPr>
        <w:t>]=size(A);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Start"/>
      <w:r w:rsidRPr="0098424F">
        <w:rPr>
          <w:rFonts w:ascii="Consolas" w:eastAsia="宋体" w:hAnsi="Consolas" w:cs="宋体"/>
          <w:color w:val="000000"/>
          <w:kern w:val="0"/>
          <w:szCs w:val="21"/>
        </w:rPr>
        <w:t>v,d</w:t>
      </w:r>
      <w:proofErr w:type="spellEnd"/>
      <w:proofErr w:type="gramEnd"/>
      <w:r w:rsidRPr="0098424F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eig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(A);</w:t>
      </w:r>
    </w:p>
    <w:p w:rsidR="0098424F" w:rsidRPr="007F7216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注意上面</w:t>
      </w:r>
      <w:r w:rsidR="007F7216">
        <w:rPr>
          <w:rFonts w:ascii="Consolas" w:eastAsia="宋体" w:hAnsi="Consolas" w:cs="宋体" w:hint="eastAsia"/>
          <w:color w:val="3C763D"/>
          <w:kern w:val="0"/>
          <w:szCs w:val="21"/>
        </w:rPr>
        <w:t>，</w:t>
      </w:r>
      <w:r w:rsidR="007F7216" w:rsidRPr="0098424F">
        <w:rPr>
          <w:rFonts w:ascii="Consolas" w:eastAsia="宋体" w:hAnsi="Consolas" w:cs="宋体"/>
          <w:color w:val="3C763D"/>
          <w:kern w:val="0"/>
          <w:szCs w:val="21"/>
        </w:rPr>
        <w:t>d</w:t>
      </w:r>
      <w:r w:rsidR="007F7216" w:rsidRPr="0098424F">
        <w:rPr>
          <w:rFonts w:ascii="Consolas" w:eastAsia="宋体" w:hAnsi="Consolas" w:cs="宋体"/>
          <w:color w:val="3C763D"/>
          <w:kern w:val="0"/>
          <w:szCs w:val="21"/>
        </w:rPr>
        <w:t>是一个对角矩阵，对角矩阵上的元素为</w:t>
      </w:r>
      <w:r w:rsidR="007F7216" w:rsidRPr="0098424F">
        <w:rPr>
          <w:rFonts w:ascii="Consolas" w:eastAsia="宋体" w:hAnsi="Consolas" w:cs="宋体"/>
          <w:color w:val="3C763D"/>
          <w:kern w:val="0"/>
          <w:szCs w:val="21"/>
        </w:rPr>
        <w:t>A</w:t>
      </w:r>
      <w:r w:rsidR="007F7216" w:rsidRPr="0098424F">
        <w:rPr>
          <w:rFonts w:ascii="Consolas" w:eastAsia="宋体" w:hAnsi="Consolas" w:cs="宋体"/>
          <w:color w:val="3C763D"/>
          <w:kern w:val="0"/>
          <w:szCs w:val="21"/>
        </w:rPr>
        <w:t>的特征值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%v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的每一列都是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A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的特征向量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>lambda=max(</w:t>
      </w: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diag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(d));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取出矩阵的对角元素的值，并求最大值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=find(</w:t>
      </w: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diag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(d)==lambda);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查找操作需要总结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>v</w:t>
      </w:r>
      <w:proofErr w:type="gramStart"/>
      <w:r w:rsidRPr="0098424F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spellStart"/>
      <w:proofErr w:type="gramEnd"/>
      <w:r w:rsidRPr="0098424F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对应的特征向量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>pro=v</w:t>
      </w:r>
      <w:proofErr w:type="gramStart"/>
      <w:r w:rsidRPr="0098424F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spellStart"/>
      <w:proofErr w:type="gramEnd"/>
      <w:r w:rsidRPr="0098424F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)./sum(v(:,</w:t>
      </w: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98424F" w:rsidRPr="0098424F" w:rsidRDefault="0098424F" w:rsidP="006C222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归一化操作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接下来检验一致性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>CI=(lambda-n)/(n-1);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一致性指标，查表得到的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>RI</w:t>
      </w:r>
      <w:proofErr w:type="gramStart"/>
      <w:r w:rsidRPr="0098424F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98424F">
        <w:rPr>
          <w:rFonts w:ascii="Consolas" w:eastAsia="宋体" w:hAnsi="Consolas" w:cs="宋体"/>
          <w:color w:val="000000"/>
          <w:kern w:val="0"/>
          <w:szCs w:val="21"/>
        </w:rPr>
        <w:t>0,0,0.58,0.90,1.12,1.24,1.32,1.41,1.45];</w:t>
      </w:r>
    </w:p>
    <w:p w:rsidR="0098424F" w:rsidRPr="0098424F" w:rsidRDefault="0098424F" w:rsidP="006C222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>CR=</w:t>
      </w:r>
      <w:proofErr w:type="gramStart"/>
      <w:r w:rsidRPr="0098424F">
        <w:rPr>
          <w:rFonts w:ascii="Consolas" w:eastAsia="宋体" w:hAnsi="Consolas" w:cs="宋体"/>
          <w:color w:val="000000"/>
          <w:kern w:val="0"/>
          <w:szCs w:val="21"/>
        </w:rPr>
        <w:t>CI./</w:t>
      </w:r>
      <w:proofErr w:type="gramEnd"/>
      <w:r w:rsidRPr="0098424F">
        <w:rPr>
          <w:rFonts w:ascii="Consolas" w:eastAsia="宋体" w:hAnsi="Consolas" w:cs="宋体"/>
          <w:color w:val="000000"/>
          <w:kern w:val="0"/>
          <w:szCs w:val="21"/>
        </w:rPr>
        <w:t>RI(n);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CR&lt;0.1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CR_Result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通过！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CR_Result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不通过！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424F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8424F">
        <w:rPr>
          <w:rFonts w:ascii="Consolas" w:eastAsia="宋体" w:hAnsi="Consolas" w:cs="宋体"/>
          <w:color w:val="3C763D"/>
          <w:kern w:val="0"/>
          <w:szCs w:val="21"/>
        </w:rPr>
        <w:t>输出检验结果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该矩阵判断报告：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一致性指标：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,num2str(CI)]);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一致性比例：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,num2str(CR)]);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一致性检验结果：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CR_Result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98424F" w:rsidRPr="0098424F" w:rsidRDefault="0098424F" w:rsidP="0098424F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特征值：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,num2str(lambda)]);</w:t>
      </w:r>
    </w:p>
    <w:p w:rsidR="00AC1C16" w:rsidRPr="006C2226" w:rsidRDefault="0098424F" w:rsidP="006C2226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98424F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9842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权向量：</w:t>
      </w:r>
      <w:r w:rsidRPr="0098424F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8424F">
        <w:rPr>
          <w:rFonts w:ascii="Consolas" w:eastAsia="宋体" w:hAnsi="Consolas" w:cs="宋体"/>
          <w:color w:val="000000"/>
          <w:kern w:val="0"/>
          <w:szCs w:val="21"/>
        </w:rPr>
        <w:t>);pro=pro</w:t>
      </w:r>
    </w:p>
    <w:p w:rsidR="00FD0A07" w:rsidRPr="00FD0A07" w:rsidRDefault="000D6A9A" w:rsidP="00FD0A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 w:rsidR="00E55B6A">
        <w:rPr>
          <w:rFonts w:ascii="宋体" w:eastAsia="宋体" w:hAnsi="宋体" w:cs="宋体" w:hint="eastAsia"/>
          <w:kern w:val="0"/>
          <w:sz w:val="24"/>
          <w:szCs w:val="24"/>
        </w:rPr>
        <w:t>结果：</w:t>
      </w:r>
      <w:bookmarkStart w:id="0" w:name="_GoBack"/>
      <w:bookmarkEnd w:id="0"/>
      <w:r w:rsidR="00FD0A07" w:rsidRPr="00FD0A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8650" cy="1589378"/>
            <wp:effectExtent l="0" t="0" r="0" b="0"/>
            <wp:docPr id="3" name="图片 3" descr="C:\Users\DELL\AppData\Roaming\Tencent\Users\754284818\QQ\WinTemp\RichOle\K~6K(5SKE5RTP]REF9MMM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754284818\QQ\WinTemp\RichOle\K~6K(5SKE5RTP]REF9MMMX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40" cy="162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26" w:rsidRDefault="006C2226" w:rsidP="00220C87"/>
    <w:p w:rsidR="00AC1C16" w:rsidRPr="0098424F" w:rsidRDefault="00AC1C16" w:rsidP="00220C87">
      <w:r>
        <w:rPr>
          <w:rFonts w:hint="eastAsia"/>
        </w:rPr>
        <w:t>6、例子：</w:t>
      </w:r>
      <w:r w:rsidR="009E2BEC">
        <w:rPr>
          <w:rFonts w:hint="eastAsia"/>
        </w:rPr>
        <w:t>（明天可能搞一个。现在没力气）</w:t>
      </w:r>
    </w:p>
    <w:sectPr w:rsidR="00AC1C16" w:rsidRPr="0098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B6A"/>
    <w:multiLevelType w:val="hybridMultilevel"/>
    <w:tmpl w:val="7BA6FB5A"/>
    <w:lvl w:ilvl="0" w:tplc="71846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24"/>
    <w:rsid w:val="00006EC9"/>
    <w:rsid w:val="00017822"/>
    <w:rsid w:val="000D6A9A"/>
    <w:rsid w:val="0011349C"/>
    <w:rsid w:val="00215746"/>
    <w:rsid w:val="00220C87"/>
    <w:rsid w:val="002237E4"/>
    <w:rsid w:val="00224BAC"/>
    <w:rsid w:val="002A65BF"/>
    <w:rsid w:val="002E48C1"/>
    <w:rsid w:val="003C1AD6"/>
    <w:rsid w:val="004909C5"/>
    <w:rsid w:val="006C2226"/>
    <w:rsid w:val="00705F18"/>
    <w:rsid w:val="0077113E"/>
    <w:rsid w:val="00773C8C"/>
    <w:rsid w:val="007D260A"/>
    <w:rsid w:val="007E3E1F"/>
    <w:rsid w:val="007F7216"/>
    <w:rsid w:val="0093166A"/>
    <w:rsid w:val="0098424F"/>
    <w:rsid w:val="009E2BEC"/>
    <w:rsid w:val="009F1265"/>
    <w:rsid w:val="00A1530C"/>
    <w:rsid w:val="00A25F24"/>
    <w:rsid w:val="00A8065D"/>
    <w:rsid w:val="00AC1C16"/>
    <w:rsid w:val="00B36738"/>
    <w:rsid w:val="00BA5411"/>
    <w:rsid w:val="00CC6AE2"/>
    <w:rsid w:val="00CD3843"/>
    <w:rsid w:val="00CD41DF"/>
    <w:rsid w:val="00D80503"/>
    <w:rsid w:val="00D914F5"/>
    <w:rsid w:val="00DA76D5"/>
    <w:rsid w:val="00E55B6A"/>
    <w:rsid w:val="00EB39B5"/>
    <w:rsid w:val="00F24B1A"/>
    <w:rsid w:val="00FD0A07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0575"/>
  <w15:chartTrackingRefBased/>
  <w15:docId w15:val="{BCF48274-A54F-4D64-819A-EE6551E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78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8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78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4B1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E48C1"/>
    <w:rPr>
      <w:color w:val="808080"/>
    </w:rPr>
  </w:style>
  <w:style w:type="character" w:customStyle="1" w:styleId="s9ac876d10">
    <w:name w:val="s9ac876d10"/>
    <w:basedOn w:val="a0"/>
    <w:rsid w:val="0098424F"/>
  </w:style>
  <w:style w:type="character" w:customStyle="1" w:styleId="s9ac876d141">
    <w:name w:val="s9ac876d141"/>
    <w:basedOn w:val="a0"/>
    <w:rsid w:val="0098424F"/>
    <w:rPr>
      <w:strike w:val="0"/>
      <w:dstrike w:val="0"/>
      <w:color w:val="A020F0"/>
      <w:u w:val="none"/>
      <w:effect w:val="none"/>
    </w:rPr>
  </w:style>
  <w:style w:type="character" w:customStyle="1" w:styleId="s9ac876d151">
    <w:name w:val="s9ac876d151"/>
    <w:basedOn w:val="a0"/>
    <w:rsid w:val="0098424F"/>
    <w:rPr>
      <w:strike w:val="0"/>
      <w:dstrike w:val="0"/>
      <w:color w:val="3C763D"/>
      <w:u w:val="none"/>
      <w:effect w:val="none"/>
    </w:rPr>
  </w:style>
  <w:style w:type="character" w:customStyle="1" w:styleId="s9ac876d161">
    <w:name w:val="s9ac876d161"/>
    <w:basedOn w:val="a0"/>
    <w:rsid w:val="0098424F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8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5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0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9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7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1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5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0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5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3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98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1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9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8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3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7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0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6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4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4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4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5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2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6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6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7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2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1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0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8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6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4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9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8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0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2020-02-08T03:52:00Z</dcterms:created>
  <dcterms:modified xsi:type="dcterms:W3CDTF">2020-02-08T16:01:00Z</dcterms:modified>
</cp:coreProperties>
</file>