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报告编号：2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样品编号：2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样品名称：食醋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在华注册编号（X） 5. 贮存条件（√） 6. 保质期（X）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核心营养素（√） 3. 营养成分含量表达及NRV计算（√）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保质期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未找到保质期。  依据：GB28050-2011 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