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报告编号：3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样品编号：3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样品名称：高钙小馒头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净含量（√） 3. 原产国名（√） 4. 在华注册编号（X） 5. 贮存条件（√） 6. 保质期（X）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营养成分表（√） 2. 核心营养素（√） 3. 营养成分含量表达及NRV计算（X）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保质期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未找到保质期。  依据：GB28050-2011 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营养成分含量表达及NRV计算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'脂肪'修约间隔!=0.1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