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报告编号：8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样品编号：8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样品名称：复合果味碳酸饮料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净含量（X） 3. 原产国名（√） 4. 在华注册编号（X） 5. 贮存条件（√） 6. 保质期（X）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营养成分表（X） 2. 核心营养素（√） 3. 营养成分含量表达及NRV计算（√）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净含量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未找到净含量！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保质期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未找到保质期。  依据：GB28050-2011 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'每份'含量标识错误！	每100ml; 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