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6960">
      <w:pPr>
        <w:pStyle w:val="2"/>
        <w:pageBreakBefore w:val="0"/>
        <w:kinsoku/>
        <w:wordWrap/>
        <w:overflowPunct/>
        <w:topLinePunct w:val="0"/>
        <w:autoSpaceDE/>
        <w:autoSpaceDN/>
        <w:bidi w:val="0"/>
        <w:adjustRightInd/>
        <w:snapToGrid/>
        <w:ind w:firstLine="643" w:firstLineChars="200"/>
      </w:pPr>
      <w:r>
        <w:t xml:space="preserve">1. 引言 </w:t>
      </w:r>
    </w:p>
    <w:p w14:paraId="2CF727DF">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现代城市测绘的构想根源于人类对物理世界进行数字化处理以服务于</w:t>
      </w:r>
      <w:bookmarkStart w:id="0" w:name="_GoBack"/>
      <w:bookmarkEnd w:id="0"/>
      <w:r>
        <w:t>导航与分析的本质需求。这一雄心在 2001 年迎来了一个关键的技术拐点，即由 Google 资助的斯坦福 CityBlock 项目。该研究项目旨在通过“爬取物理网络”来实现城市环境的数字化 。在拉里·佩奇（Larry Page）将沉浸式视频压缩为系列照片的愿景驱动下，研究人员开发了诸如“自动多透视成像”等算法，以修正全景马赛克中的深度失真 。2007 年，随着 Google Street View 的发布，该项目从学术探索正式转向工业现实，这一平台通过提供交互式的 360 度街道级全景图，彻底改变了地理信息系统（GIS） 。自那时起，街道级影像已从一种新颖的导航辅助手段演变为城市数字孪生（UDT）的基石，使决策者能够近乎实时地监测基础设施、模拟环境影响并管理复杂的城市系统 。</w:t>
      </w:r>
    </w:p>
    <w:p w14:paraId="68232F53">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街景数据采集在更广泛的“智慧城市”语境中扮演着核心角色，其优势远超简单的视觉呈现。高保真空间数据为自动驾驶仿真、应急响应规划以及参与式城市治理提供了支持 。然而，配备传感器的大规模车队的运营效能严格受制于其遍历路径的效率 。与旨在优化起点到终点间最短路径的标准点对点导航不同，街景测绘要求对网络中的每一条边进行详尽遍历 。该过程中的主要成本瓶颈在于“死重行程”（deadheading）距离——即遍历已经访问过的街道——在密集的城市区域，这可能超过总运营成本的 30% 。在遵守复杂交通规则的同时最小化这种冗余，是混合中国邮递员问题（MCPP）的核心挑战 。</w:t>
      </w:r>
    </w:p>
    <w:p w14:paraId="0198C019">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在当代的城市环境中，道路网络呈现出异构的方向约束特征，包括双向大道、单向主干道以及具有动态时间限制的步行区 。这种拓扑复杂性因车辆自身的运动学极限而进一步加剧。街景采集车是一个非完整系统，受限于严格的转弯半径和机动性约束 。例如，执行左转通常涉及让行延误，而掉头在狭窄的“老城区”走廊中在物理上可能是无法实现的 。传统的运筹学模型往往过度依赖简化的欧几里得距离，未能考虑到转向的非对称成本或不同街区的语义功能类型 。在静态地图上数学最优的路径，在学校区域的送学高峰时段逻辑上可能是错误的，会导致严重的时间延误，从而使预先计算的效率指标失效 。</w:t>
      </w:r>
    </w:p>
    <w:p w14:paraId="7918CD45">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为了解决这些多维挑战，有必要超越纯拓扑性质的路径规划，转向一种具备高层语义推理能力的系统。本研究引入了“语言赋能的动态边中心图网络”（LE-DEGN），这是一个将大型语言模型（LLM）的上下文知识与图神经网络（GNN）的结构学习相结合的混合框架 。LE-DEGN 架构采用以边为中心的视角，将城市环境建模为多向图，其中路段承载着物理属性（长度、宽度、角度）和语义标签（如“商业步行街”、“学校区域”） 。该框架通过两个共生流运行：一个是利用 LLM 引擎解析文本城市场景并生成动态运营窗口的语义流，另一个是应用严格拓扑修改和转向惩罚的运动学引擎 。具体而言，系统通过对左转施加 1.5 倍惩罚和对掉头施加高达 7.0 倍的惩罚来阻止低效的回溯，同时自动将宽度小于 4.5 米的道路转换为单向弧线 。通过整合收敛曲线上面积（AOCC）作为主要的随时性能指标，该方法展示了一种在现代城市易变且语义丰富的环境中优化车辆路径的具备韧性且可扩展的方法 。</w:t>
      </w:r>
    </w:p>
    <w:p w14:paraId="3F111E99">
      <w:pPr>
        <w:keepNext w:val="0"/>
        <w:keepLines w:val="0"/>
        <w:pageBreakBefore w:val="0"/>
        <w:widowControl w:val="0"/>
        <w:kinsoku/>
        <w:wordWrap/>
        <w:overflowPunct/>
        <w:topLinePunct w:val="0"/>
        <w:autoSpaceDE/>
        <w:autoSpaceDN/>
        <w:bidi w:val="0"/>
        <w:adjustRightInd/>
        <w:snapToGrid/>
        <w:spacing w:before="360" w:line="0" w:lineRule="atLeast"/>
        <w:ind w:firstLine="723" w:firstLineChars="200"/>
        <w:textAlignment w:val="auto"/>
      </w:pPr>
      <w:r>
        <w:rPr>
          <w:b/>
          <w:sz w:val="36"/>
          <w:szCs w:val="36"/>
        </w:rPr>
        <w:t xml:space="preserve">2. 文献综述 </w:t>
      </w:r>
    </w:p>
    <w:p w14:paraId="2E8F9D51">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关于城市遍历优化的学术景观呈现出从静态组合模型向动态、语义感知智能转化的特征。这一进展反映了城市道路网络日益增长的复杂性，以及计算求解器的并行演进，涵盖了从精确数学算法到神经强化学习以及语言赋能智能体的广泛范畴。</w:t>
      </w:r>
    </w:p>
    <w:p w14:paraId="2E9BF6ED">
      <w:pPr>
        <w:keepNext w:val="0"/>
        <w:keepLines w:val="0"/>
        <w:pageBreakBefore w:val="0"/>
        <w:widowControl w:val="0"/>
        <w:kinsoku/>
        <w:wordWrap/>
        <w:overflowPunct/>
        <w:topLinePunct w:val="0"/>
        <w:autoSpaceDE/>
        <w:autoSpaceDN/>
        <w:bidi w:val="0"/>
        <w:adjustRightInd/>
        <w:snapToGrid/>
        <w:spacing w:before="300" w:line="0" w:lineRule="atLeast"/>
        <w:ind w:firstLine="643" w:firstLineChars="200"/>
        <w:textAlignment w:val="auto"/>
      </w:pPr>
      <w:r>
        <w:rPr>
          <w:b/>
          <w:sz w:val="32"/>
          <w:szCs w:val="32"/>
        </w:rPr>
        <w:t>2.1 弧路径规划与 MCPP的基础</w:t>
      </w:r>
    </w:p>
    <w:p w14:paraId="4A63FF59">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弧路径规划领域主要解决必须沿网络边缘执行服务的问题，这使得混合中国邮递员问题（MCPP）成为城市街景拍摄任务的决定性数学表述。本节总结了这些算法的历史演变，从多项式时间可解的变体到混合网络中 NP-hard性质的证明。</w:t>
      </w:r>
    </w:p>
    <w:tbl>
      <w:tblPr>
        <w:tblStyle w:val="4"/>
        <w:tblW w:w="9000" w:type="dxa"/>
        <w:tblInd w:w="0" w:type="dxa"/>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Layout w:type="autofit"/>
        <w:tblCellMar>
          <w:top w:w="0" w:type="dxa"/>
          <w:left w:w="108" w:type="dxa"/>
          <w:bottom w:w="0" w:type="dxa"/>
          <w:right w:w="108" w:type="dxa"/>
        </w:tblCellMar>
      </w:tblPr>
      <w:tblGrid>
        <w:gridCol w:w="2745"/>
        <w:gridCol w:w="1561"/>
        <w:gridCol w:w="4694"/>
      </w:tblGrid>
      <w:tr w14:paraId="1289C511">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D6E4F0"/>
          </w:tcPr>
          <w:p w14:paraId="19057D34">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算法 /作者</w:t>
            </w:r>
          </w:p>
        </w:tc>
        <w:tc>
          <w:tcPr>
            <w:tcW w:w="0" w:type="auto"/>
            <w:shd w:val="clear" w:color="auto" w:fill="D6E4F0"/>
          </w:tcPr>
          <w:p w14:paraId="5A1F117D">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方法论</w:t>
            </w:r>
          </w:p>
        </w:tc>
        <w:tc>
          <w:tcPr>
            <w:tcW w:w="0" w:type="auto"/>
            <w:shd w:val="clear" w:color="auto" w:fill="D6E4F0"/>
          </w:tcPr>
          <w:p w14:paraId="5D3F0841">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核心影响</w:t>
            </w:r>
          </w:p>
        </w:tc>
      </w:tr>
      <w:tr w14:paraId="52E13B14">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74955766">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Edmonds &amp; Johnson (1973)</w:t>
            </w:r>
          </w:p>
        </w:tc>
        <w:tc>
          <w:tcPr>
            <w:tcW w:w="0" w:type="auto"/>
          </w:tcPr>
          <w:p w14:paraId="09110737">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匹配与流理论</w:t>
            </w:r>
          </w:p>
        </w:tc>
        <w:tc>
          <w:tcPr>
            <w:tcW w:w="0" w:type="auto"/>
          </w:tcPr>
          <w:p w14:paraId="4FA7CA14">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为纯无向/有向图确立了精确的多项式时间解 。</w:t>
            </w:r>
          </w:p>
        </w:tc>
      </w:tr>
      <w:tr w14:paraId="354F3E01">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06982825">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Papadimitriou (1976)</w:t>
            </w:r>
          </w:p>
        </w:tc>
        <w:tc>
          <w:tcPr>
            <w:tcW w:w="0" w:type="auto"/>
            <w:shd w:val="clear" w:color="auto" w:fill="F2F7FB"/>
          </w:tcPr>
          <w:p w14:paraId="302A3A48">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复杂度分析</w:t>
            </w:r>
          </w:p>
        </w:tc>
        <w:tc>
          <w:tcPr>
            <w:tcW w:w="0" w:type="auto"/>
            <w:shd w:val="clear" w:color="auto" w:fill="F2F7FB"/>
          </w:tcPr>
          <w:p w14:paraId="14555639">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正式证明了 MCPP 即使在平面、低度图中也是 NP-hard 的 。</w:t>
            </w:r>
          </w:p>
        </w:tc>
      </w:tr>
      <w:tr w14:paraId="7EC81692">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5D434B08">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Frederickson (1979)</w:t>
            </w:r>
          </w:p>
        </w:tc>
        <w:tc>
          <w:tcPr>
            <w:tcW w:w="0" w:type="auto"/>
          </w:tcPr>
          <w:p w14:paraId="1145A8EE">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近似算法</w:t>
            </w:r>
          </w:p>
        </w:tc>
        <w:tc>
          <w:tcPr>
            <w:tcW w:w="0" w:type="auto"/>
          </w:tcPr>
          <w:p w14:paraId="4605D897">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为平面混合图开发了首个 3/2-近似算法 。</w:t>
            </w:r>
          </w:p>
        </w:tc>
      </w:tr>
      <w:tr w14:paraId="2CF40487">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12F0F3E5">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Benavent &amp; Soler (1999)</w:t>
            </w:r>
          </w:p>
        </w:tc>
        <w:tc>
          <w:tcPr>
            <w:tcW w:w="0" w:type="auto"/>
            <w:shd w:val="clear" w:color="auto" w:fill="F2F7FB"/>
          </w:tcPr>
          <w:p w14:paraId="639876C6">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运动学惩罚</w:t>
            </w:r>
          </w:p>
        </w:tc>
        <w:tc>
          <w:tcPr>
            <w:tcW w:w="0" w:type="auto"/>
            <w:shd w:val="clear" w:color="auto" w:fill="F2F7FB"/>
          </w:tcPr>
          <w:p w14:paraId="66F9D0C8">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在有向农村邮递员问题公式中整合了显式的转向惩罚 。</w:t>
            </w:r>
          </w:p>
        </w:tc>
      </w:tr>
      <w:tr w14:paraId="3F902CD8">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3D9254C4">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Corberán 等人 (2018)</w:t>
            </w:r>
          </w:p>
        </w:tc>
        <w:tc>
          <w:tcPr>
            <w:tcW w:w="0" w:type="auto"/>
          </w:tcPr>
          <w:p w14:paraId="6A9FA06D">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载荷相关CPP</w:t>
            </w:r>
          </w:p>
        </w:tc>
        <w:tc>
          <w:tcPr>
            <w:tcW w:w="0" w:type="auto"/>
          </w:tcPr>
          <w:p w14:paraId="3F37BE30">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证明了即使在加权树上，载荷变量遍历也具有 NP-hard 性质 。</w:t>
            </w:r>
          </w:p>
        </w:tc>
      </w:tr>
    </w:tbl>
    <w:p w14:paraId="24EA3600">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标准的中国邮递员问题（CPP）最初由管梅谷（1962）研究，旨在寻找访问每条边的最短闭合路径 。虽然早期求解器通过对奇数度节点进行二分匹配成功处理了对称网络，但单向车道的出现使得 MCPP 成为必然 。MCPP 的内在难度在于如何定向无向边以满足欧拉条件（即每个节点的入度等于出度）这一组合爆炸挑战 。Raghavachari 和 Veerasamy（1999）等人的近似算法为非平面图提供了首个可靠的性能比率，但这些方法在数学上仍然是僵化的，无法吸收动态的、上下文相关的成本 。大风邮递员问题（WPP）等最近的扩展进一步说明了建模方向相关成本的复杂性，但经典的元启发式算法（如蚁群优化）往往难以扩展到现代大都市的海量实例规模 。</w:t>
      </w:r>
    </w:p>
    <w:p w14:paraId="47743C9A">
      <w:pPr>
        <w:keepNext w:val="0"/>
        <w:keepLines w:val="0"/>
        <w:pageBreakBefore w:val="0"/>
        <w:widowControl w:val="0"/>
        <w:kinsoku/>
        <w:wordWrap/>
        <w:overflowPunct/>
        <w:topLinePunct w:val="0"/>
        <w:autoSpaceDE/>
        <w:autoSpaceDN/>
        <w:bidi w:val="0"/>
        <w:adjustRightInd/>
        <w:snapToGrid/>
        <w:spacing w:before="300" w:line="0" w:lineRule="atLeast"/>
        <w:ind w:firstLine="643" w:firstLineChars="200"/>
        <w:textAlignment w:val="auto"/>
      </w:pPr>
      <w:r>
        <w:rPr>
          <w:b/>
          <w:sz w:val="32"/>
          <w:szCs w:val="32"/>
        </w:rPr>
        <w:t>2.2弧路径规划的神经组合优化</w:t>
      </w:r>
    </w:p>
    <w:p w14:paraId="342AF00F">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为了规避传统精确求解器的计算瓶颈和启发式算法的人工限制，研究重心已转向神经组合优化（NCO）。本节评估了图神经网络（GNN）和深度强化学习（DRL）如何重塑以边为中心的路由范式。</w:t>
      </w:r>
    </w:p>
    <w:tbl>
      <w:tblPr>
        <w:tblStyle w:val="4"/>
        <w:tblW w:w="9000" w:type="dxa"/>
        <w:tblInd w:w="0" w:type="dxa"/>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Layout w:type="autofit"/>
        <w:tblCellMar>
          <w:top w:w="0" w:type="dxa"/>
          <w:left w:w="108" w:type="dxa"/>
          <w:bottom w:w="0" w:type="dxa"/>
          <w:right w:w="108" w:type="dxa"/>
        </w:tblCellMar>
      </w:tblPr>
      <w:tblGrid>
        <w:gridCol w:w="2717"/>
        <w:gridCol w:w="2142"/>
        <w:gridCol w:w="4141"/>
      </w:tblGrid>
      <w:tr w14:paraId="192F12DE">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D6E4F0"/>
          </w:tcPr>
          <w:p w14:paraId="06E86C98">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NCO框架</w:t>
            </w:r>
          </w:p>
        </w:tc>
        <w:tc>
          <w:tcPr>
            <w:tcW w:w="0" w:type="auto"/>
            <w:shd w:val="clear" w:color="auto" w:fill="D6E4F0"/>
          </w:tcPr>
          <w:p w14:paraId="3A7419D8">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神经架构</w:t>
            </w:r>
          </w:p>
        </w:tc>
        <w:tc>
          <w:tcPr>
            <w:tcW w:w="0" w:type="auto"/>
            <w:shd w:val="clear" w:color="auto" w:fill="D6E4F0"/>
          </w:tcPr>
          <w:p w14:paraId="7191CE86">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路由背景与成就</w:t>
            </w:r>
          </w:p>
        </w:tc>
      </w:tr>
      <w:tr w14:paraId="5BD640AC">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0D086B84">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Dudzik &amp; Veličković (2022)</w:t>
            </w:r>
          </w:p>
        </w:tc>
        <w:tc>
          <w:tcPr>
            <w:tcW w:w="0" w:type="auto"/>
          </w:tcPr>
          <w:p w14:paraId="3E3B1CDE">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GNN算法对齐</w:t>
            </w:r>
          </w:p>
        </w:tc>
        <w:tc>
          <w:tcPr>
            <w:tcW w:w="0" w:type="auto"/>
          </w:tcPr>
          <w:p w14:paraId="5689E094">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证明了 GNN 在功能上与动态规划算法对齐 。</w:t>
            </w:r>
          </w:p>
        </w:tc>
      </w:tr>
      <w:tr w14:paraId="2E8FA81F">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4F1E0ABA">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Arc-DRL (Hy &amp; Tran, 2024)</w:t>
            </w:r>
          </w:p>
        </w:tc>
        <w:tc>
          <w:tcPr>
            <w:tcW w:w="0" w:type="auto"/>
            <w:shd w:val="clear" w:color="auto" w:fill="F2F7FB"/>
          </w:tcPr>
          <w:p w14:paraId="6C198339">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GAT +REINFORCE</w:t>
            </w:r>
          </w:p>
        </w:tc>
        <w:tc>
          <w:tcPr>
            <w:tcW w:w="0" w:type="auto"/>
            <w:shd w:val="clear" w:color="auto" w:fill="F2F7FB"/>
          </w:tcPr>
          <w:p w14:paraId="08976B18">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利用自回归解码解决了载荷相关的 CPP 变体 。</w:t>
            </w:r>
          </w:p>
        </w:tc>
      </w:tr>
      <w:tr w14:paraId="5BC04BAC">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3CD164B3">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DAR (Wang 等人, 2025)</w:t>
            </w:r>
          </w:p>
        </w:tc>
        <w:tc>
          <w:tcPr>
            <w:tcW w:w="0" w:type="auto"/>
          </w:tcPr>
          <w:p w14:paraId="55E61307">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注意力重塑</w:t>
            </w:r>
          </w:p>
        </w:tc>
        <w:tc>
          <w:tcPr>
            <w:tcW w:w="0" w:type="auto"/>
          </w:tcPr>
          <w:p w14:paraId="1F21712D">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通过距离感知增强了大规模图的零样本泛化能力 。</w:t>
            </w:r>
          </w:p>
        </w:tc>
      </w:tr>
      <w:tr w14:paraId="7E874A53">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2CE14760">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RRNCO (Berto 等人, 2025)</w:t>
            </w:r>
          </w:p>
        </w:tc>
        <w:tc>
          <w:tcPr>
            <w:tcW w:w="0" w:type="auto"/>
            <w:shd w:val="clear" w:color="auto" w:fill="F2F7FB"/>
          </w:tcPr>
          <w:p w14:paraId="3577C70D">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神经自适应偏差</w:t>
            </w:r>
          </w:p>
        </w:tc>
        <w:tc>
          <w:tcPr>
            <w:tcW w:w="0" w:type="auto"/>
            <w:shd w:val="clear" w:color="auto" w:fill="F2F7FB"/>
          </w:tcPr>
          <w:p w14:paraId="299BBF69">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为真实路由建模了非对称旅行时长和方向角度 。</w:t>
            </w:r>
          </w:p>
        </w:tc>
      </w:tr>
    </w:tbl>
    <w:p w14:paraId="100456C8">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一项关键的理论突破表明，GNN 内在地模拟了诸如 Bellman-Ford 等消息传递算法，这使其在提取图拓扑的强大潜在表征方面表现出独特的有效性 。在此基础上，Arc-DRL 框架将路径规划挑战公式化为马尔可夫决策过程（MDP），允许智能体直接从数据中学习近优策略，而无需专家标签 。然而，持久的“仿真到现实鸿沟”阻碍了这些模型在物理城市环境中的部署 。大多数 DRL 求解器是在过度简化的欧几里得数据集上训练的，未能捕获由单向流引起的非对称距离或车辆转向的非完整约束 。RRNCO 等架构试图通过整合神经自适应偏差和自适应节点嵌入（ANE）来弥补这一鸿沟，将空间坐标与真实世界的距离特征融合 。尽管在几何精度上有所进步，NCO 模型仍然是“语义盲”的，无法推理以人为本的城市背景，如施工区域或学校课表 。</w:t>
      </w:r>
    </w:p>
    <w:p w14:paraId="28DB903A">
      <w:pPr>
        <w:keepNext w:val="0"/>
        <w:keepLines w:val="0"/>
        <w:pageBreakBefore w:val="0"/>
        <w:widowControl w:val="0"/>
        <w:kinsoku/>
        <w:wordWrap/>
        <w:overflowPunct/>
        <w:topLinePunct w:val="0"/>
        <w:autoSpaceDE/>
        <w:autoSpaceDN/>
        <w:bidi w:val="0"/>
        <w:adjustRightInd/>
        <w:snapToGrid/>
        <w:spacing w:before="300" w:line="0" w:lineRule="atLeast"/>
        <w:ind w:firstLine="643" w:firstLineChars="200"/>
        <w:textAlignment w:val="auto"/>
      </w:pPr>
      <w:r>
        <w:rPr>
          <w:b/>
          <w:sz w:val="32"/>
          <w:szCs w:val="32"/>
        </w:rPr>
        <w:t>2.3 自主规划中的空间推理与LLM</w:t>
      </w:r>
    </w:p>
    <w:p w14:paraId="18513274">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最近最具颠覆性的趋势是利用大型语言模型（LLM）来克服数值求解器的语义局限。本节考察了 LLM在解释复杂语言环境中的效用，以及其空间应用中固有的结构性挑战。</w:t>
      </w:r>
    </w:p>
    <w:tbl>
      <w:tblPr>
        <w:tblStyle w:val="4"/>
        <w:tblW w:w="9000" w:type="dxa"/>
        <w:tblInd w:w="0" w:type="dxa"/>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Layout w:type="autofit"/>
        <w:tblCellMar>
          <w:top w:w="0" w:type="dxa"/>
          <w:left w:w="108" w:type="dxa"/>
          <w:bottom w:w="0" w:type="dxa"/>
          <w:right w:w="108" w:type="dxa"/>
        </w:tblCellMar>
      </w:tblPr>
      <w:tblGrid>
        <w:gridCol w:w="2392"/>
        <w:gridCol w:w="1900"/>
        <w:gridCol w:w="4708"/>
      </w:tblGrid>
      <w:tr w14:paraId="44A7E84F">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D6E4F0"/>
          </w:tcPr>
          <w:p w14:paraId="5CCACB5B">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LLM规划方法</w:t>
            </w:r>
          </w:p>
        </w:tc>
        <w:tc>
          <w:tcPr>
            <w:tcW w:w="0" w:type="auto"/>
            <w:shd w:val="clear" w:color="auto" w:fill="D6E4F0"/>
          </w:tcPr>
          <w:p w14:paraId="15BAE20C">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机制</w:t>
            </w:r>
          </w:p>
        </w:tc>
        <w:tc>
          <w:tcPr>
            <w:tcW w:w="0" w:type="auto"/>
            <w:shd w:val="clear" w:color="auto" w:fill="D6E4F0"/>
          </w:tcPr>
          <w:p w14:paraId="326B2C7A">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核心脆弱性</w:t>
            </w:r>
          </w:p>
        </w:tc>
      </w:tr>
      <w:tr w14:paraId="10E2A47A">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2A633717">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零样本 LLM</w:t>
            </w:r>
          </w:p>
        </w:tc>
        <w:tc>
          <w:tcPr>
            <w:tcW w:w="0" w:type="auto"/>
          </w:tcPr>
          <w:p w14:paraId="425FA389">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直接提示词工程</w:t>
            </w:r>
          </w:p>
        </w:tc>
        <w:tc>
          <w:tcPr>
            <w:tcW w:w="0" w:type="auto"/>
          </w:tcPr>
          <w:p w14:paraId="088826E3">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频繁出现“空间幻觉”和无效几何路径 。</w:t>
            </w:r>
          </w:p>
        </w:tc>
      </w:tr>
      <w:tr w14:paraId="57FFA30D">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2B960CC9">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LLM-Modulo</w:t>
            </w:r>
          </w:p>
        </w:tc>
        <w:tc>
          <w:tcPr>
            <w:tcW w:w="0" w:type="auto"/>
            <w:shd w:val="clear" w:color="auto" w:fill="F2F7FB"/>
          </w:tcPr>
          <w:p w14:paraId="15BC47C8">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生成式 +验证器</w:t>
            </w:r>
          </w:p>
        </w:tc>
        <w:tc>
          <w:tcPr>
            <w:tcW w:w="0" w:type="auto"/>
            <w:shd w:val="clear" w:color="auto" w:fill="F2F7FB"/>
          </w:tcPr>
          <w:p w14:paraId="7DAF15E1">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需要确定性外部脚本来确保可行性 。</w:t>
            </w:r>
          </w:p>
        </w:tc>
      </w:tr>
      <w:tr w14:paraId="6155960F">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6A30B9D0">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LLM-A\*</w:t>
            </w:r>
          </w:p>
        </w:tc>
        <w:tc>
          <w:tcPr>
            <w:tcW w:w="0" w:type="auto"/>
          </w:tcPr>
          <w:p w14:paraId="7C5B4D57">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语义启发式</w:t>
            </w:r>
          </w:p>
        </w:tc>
        <w:tc>
          <w:tcPr>
            <w:tcW w:w="0" w:type="auto"/>
          </w:tcPr>
          <w:p w14:paraId="32CEA074">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LLM 提供战略路径点，而 A*确保局部有效性 。</w:t>
            </w:r>
          </w:p>
        </w:tc>
      </w:tr>
      <w:tr w14:paraId="4E8BC7F4">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43113D9D">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ARS (Li 等人, 2025)</w:t>
            </w:r>
          </w:p>
        </w:tc>
        <w:tc>
          <w:tcPr>
            <w:tcW w:w="0" w:type="auto"/>
            <w:shd w:val="clear" w:color="auto" w:fill="F2F7FB"/>
          </w:tcPr>
          <w:p w14:paraId="39EEBD35">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代码生成</w:t>
            </w:r>
          </w:p>
        </w:tc>
        <w:tc>
          <w:tcPr>
            <w:tcW w:w="0" w:type="auto"/>
            <w:shd w:val="clear" w:color="auto" w:fill="F2F7FB"/>
          </w:tcPr>
          <w:p w14:paraId="50EB3F1D">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LLM 智能体为 VRP 生成感知约束的启发式代码 。</w:t>
            </w:r>
          </w:p>
        </w:tc>
      </w:tr>
    </w:tbl>
    <w:p w14:paraId="70062F2B">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LLM 拥有广泛的世界知识，允许它们解释为什么某些城市区域（如医院周边）需要特定的运营行为 。然而，基准测试显示，LLM 在长期连续路径规划中经常失败，往往提出物理上不可能的动作或违反严格的单向约束——这一现象被称为“空间幻觉” 。为了减轻这一问题，混合框架如 LLM-Modulo 将生成式推理与确定性数学验证器配对 。例如，LLM-A*将模型作为全局战略指南来缩小搜索空间，而底层的 A*算法处理精确的运动学执行 。虽然在出租车路由等点到点的离散任务公式中取得了成功，但这些系统尚未原生集成到 MCPP 的连续边缘遍历需求中，因为后者要求详尽的覆盖而非简单的单一目的地导航 。</w:t>
      </w:r>
    </w:p>
    <w:p w14:paraId="08274C93">
      <w:pPr>
        <w:keepNext w:val="0"/>
        <w:keepLines w:val="0"/>
        <w:pageBreakBefore w:val="0"/>
        <w:widowControl w:val="0"/>
        <w:kinsoku/>
        <w:wordWrap/>
        <w:overflowPunct/>
        <w:topLinePunct w:val="0"/>
        <w:autoSpaceDE/>
        <w:autoSpaceDN/>
        <w:bidi w:val="0"/>
        <w:adjustRightInd/>
        <w:snapToGrid/>
        <w:spacing w:before="300" w:line="0" w:lineRule="atLeast"/>
        <w:ind w:firstLine="643" w:firstLineChars="200"/>
        <w:textAlignment w:val="auto"/>
      </w:pPr>
      <w:r>
        <w:rPr>
          <w:b/>
          <w:sz w:val="32"/>
          <w:szCs w:val="32"/>
        </w:rPr>
        <w:t>2.4语言赋能架构与语义融合</w:t>
      </w:r>
    </w:p>
    <w:p w14:paraId="703AEFCD">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路由研究的最后前沿涉及“语言赋能”的图网络，它在结构上将定性文本数据与定量拓扑特征统一。本节回顾了这些混合系统的兴起及其在复杂时空领域中的应用。</w:t>
      </w:r>
    </w:p>
    <w:tbl>
      <w:tblPr>
        <w:tblStyle w:val="4"/>
        <w:tblW w:w="9000" w:type="dxa"/>
        <w:tblInd w:w="0" w:type="dxa"/>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Layout w:type="autofit"/>
        <w:tblCellMar>
          <w:top w:w="0" w:type="dxa"/>
          <w:left w:w="108" w:type="dxa"/>
          <w:bottom w:w="0" w:type="dxa"/>
          <w:right w:w="108" w:type="dxa"/>
        </w:tblCellMar>
      </w:tblPr>
      <w:tblGrid>
        <w:gridCol w:w="2720"/>
        <w:gridCol w:w="1886"/>
        <w:gridCol w:w="4394"/>
      </w:tblGrid>
      <w:tr w14:paraId="60E5E63C">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D6E4F0"/>
          </w:tcPr>
          <w:p w14:paraId="73F4A8B8">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架构</w:t>
            </w:r>
          </w:p>
        </w:tc>
        <w:tc>
          <w:tcPr>
            <w:tcW w:w="0" w:type="auto"/>
            <w:shd w:val="clear" w:color="auto" w:fill="D6E4F0"/>
          </w:tcPr>
          <w:p w14:paraId="2288C8E6">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融合策略</w:t>
            </w:r>
          </w:p>
        </w:tc>
        <w:tc>
          <w:tcPr>
            <w:tcW w:w="0" w:type="auto"/>
            <w:shd w:val="clear" w:color="auto" w:fill="D6E4F0"/>
          </w:tcPr>
          <w:p w14:paraId="25383C79">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领域与泛化</w:t>
            </w:r>
          </w:p>
        </w:tc>
      </w:tr>
      <w:tr w14:paraId="2434C4E3">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31CE8413">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UniTime (Liu 等人, 2024)</w:t>
            </w:r>
          </w:p>
        </w:tc>
        <w:tc>
          <w:tcPr>
            <w:tcW w:w="0" w:type="auto"/>
          </w:tcPr>
          <w:p w14:paraId="7A3123C5">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领域指令</w:t>
            </w:r>
          </w:p>
        </w:tc>
        <w:tc>
          <w:tcPr>
            <w:tcW w:w="0" w:type="auto"/>
          </w:tcPr>
          <w:p w14:paraId="6A07D93E">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缓解了时间序列预测中的跨域混淆 。</w:t>
            </w:r>
          </w:p>
        </w:tc>
      </w:tr>
      <w:tr w14:paraId="7A62A207">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shd w:val="clear" w:color="auto" w:fill="F2F7FB"/>
          </w:tcPr>
          <w:p w14:paraId="65793EDB">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LeRet (Huang 等人, 2024)</w:t>
            </w:r>
          </w:p>
        </w:tc>
        <w:tc>
          <w:tcPr>
            <w:tcW w:w="0" w:type="auto"/>
            <w:shd w:val="clear" w:color="auto" w:fill="F2F7FB"/>
          </w:tcPr>
          <w:p w14:paraId="6757748E">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知识提取器</w:t>
            </w:r>
          </w:p>
        </w:tc>
        <w:tc>
          <w:tcPr>
            <w:tcW w:w="0" w:type="auto"/>
            <w:shd w:val="clear" w:color="auto" w:fill="F2F7FB"/>
          </w:tcPr>
          <w:p w14:paraId="3E947490">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在剧烈时间波动下扩展了预测泛化能力 。</w:t>
            </w:r>
          </w:p>
        </w:tc>
      </w:tr>
      <w:tr w14:paraId="2197F50A">
        <w:tblPrEx>
          <w:tblBorders>
            <w:top w:val="single" w:color="B4C6D9" w:sz="4" w:space="0"/>
            <w:left w:val="single" w:color="B4C6D9" w:sz="4" w:space="0"/>
            <w:bottom w:val="single" w:color="B4C6D9" w:sz="4" w:space="0"/>
            <w:right w:val="single" w:color="B4C6D9" w:sz="4" w:space="0"/>
            <w:insideH w:val="single" w:color="B4C6D9" w:sz="4" w:space="0"/>
            <w:insideV w:val="single" w:color="B4C6D9" w:sz="4" w:space="0"/>
          </w:tblBorders>
          <w:tblCellMar>
            <w:top w:w="0" w:type="dxa"/>
            <w:left w:w="108" w:type="dxa"/>
            <w:bottom w:w="0" w:type="dxa"/>
            <w:right w:w="108" w:type="dxa"/>
          </w:tblCellMar>
        </w:tblPrEx>
        <w:trPr>
          <w:trHeight w:val="400" w:hRule="atLeast"/>
        </w:trPr>
        <w:tc>
          <w:tcPr>
            <w:tcW w:w="0" w:type="auto"/>
          </w:tcPr>
          <w:p w14:paraId="226581CB">
            <w:pPr>
              <w:keepNext w:val="0"/>
              <w:keepLines w:val="0"/>
              <w:pageBreakBefore w:val="0"/>
              <w:widowControl w:val="0"/>
              <w:kinsoku/>
              <w:wordWrap/>
              <w:overflowPunct/>
              <w:topLinePunct w:val="0"/>
              <w:autoSpaceDE/>
              <w:autoSpaceDN/>
              <w:bidi w:val="0"/>
              <w:adjustRightInd/>
              <w:snapToGrid/>
              <w:spacing w:before="60" w:line="0" w:lineRule="atLeast"/>
              <w:ind w:firstLine="422" w:firstLineChars="200"/>
              <w:textAlignment w:val="auto"/>
            </w:pPr>
            <w:r>
              <w:rPr>
                <w:b/>
              </w:rPr>
              <w:t>LE-DEGN (本研究)</w:t>
            </w:r>
          </w:p>
        </w:tc>
        <w:tc>
          <w:tcPr>
            <w:tcW w:w="0" w:type="auto"/>
          </w:tcPr>
          <w:p w14:paraId="47676C3E">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语义-运动学融合</w:t>
            </w:r>
          </w:p>
        </w:tc>
        <w:tc>
          <w:tcPr>
            <w:tcW w:w="0" w:type="auto"/>
          </w:tcPr>
          <w:p w14:paraId="3A10542C">
            <w:pPr>
              <w:keepNext w:val="0"/>
              <w:keepLines w:val="0"/>
              <w:pageBreakBefore w:val="0"/>
              <w:widowControl w:val="0"/>
              <w:kinsoku/>
              <w:wordWrap/>
              <w:overflowPunct/>
              <w:topLinePunct w:val="0"/>
              <w:autoSpaceDE/>
              <w:autoSpaceDN/>
              <w:bidi w:val="0"/>
              <w:adjustRightInd/>
              <w:snapToGrid/>
              <w:spacing w:before="60" w:line="0" w:lineRule="atLeast"/>
              <w:ind w:firstLine="420" w:firstLineChars="200"/>
              <w:textAlignment w:val="auto"/>
            </w:pPr>
            <w:r>
              <w:t>直接将 LLM 场景嵌入以边为中心的图潜在结构 。</w:t>
            </w:r>
          </w:p>
        </w:tc>
      </w:tr>
    </w:tbl>
    <w:p w14:paraId="6E557654">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语言赋能模型利用 LLM 自动将定性约束（如活跃的“施工路段”）与空间图上可操作的权重乘数对齐 。通过将路段视为物理和语义嵌入的承载者，这些系统解决了历史上困扰自主导航的“语义鸿沟” 。2024 年和 2025 年的研究已日益转向“多模态大型语言模型”（MLLM），它们可以同时处理卫星影像、文本天气数据和路网拓扑 。评估这些系统需要鲁棒的“随时”性能指标，如收敛曲线上面积（AOCC），它量化了严格计算预算内的优化速度和可靠性 。这些先进神经技术的整合确保了自动化街景车队能够以数学最优性和高层上下文智能来导航城市迷宫。</w:t>
      </w:r>
    </w:p>
    <w:p w14:paraId="53BD1C07">
      <w:pPr>
        <w:keepNext w:val="0"/>
        <w:keepLines w:val="0"/>
        <w:pageBreakBefore w:val="0"/>
        <w:widowControl w:val="0"/>
        <w:kinsoku/>
        <w:wordWrap/>
        <w:overflowPunct/>
        <w:topLinePunct w:val="0"/>
        <w:autoSpaceDE/>
        <w:autoSpaceDN/>
        <w:bidi w:val="0"/>
        <w:adjustRightInd/>
        <w:snapToGrid/>
        <w:spacing w:before="300" w:line="0" w:lineRule="atLeast"/>
        <w:ind w:firstLine="643" w:firstLineChars="200"/>
        <w:textAlignment w:val="auto"/>
      </w:pPr>
      <w:r>
        <w:rPr>
          <w:b/>
          <w:sz w:val="32"/>
          <w:szCs w:val="32"/>
        </w:rPr>
        <w:t>2.5综述总评</w:t>
      </w:r>
    </w:p>
    <w:p w14:paraId="36ABA1E4">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r>
        <w:t>对文献的全面综合表明，虽然经典弧路由确立了 MCPP 的理论边界，但它缺乏适应现代城市动态且语义丰富特性的灵活性。随后 NCO 的兴起提供了必要的计算速度，但仍锚定在“语义盲”的几何范式中，往往难以泛化到现实世界的不对称性。最近将 LLM 作为推理智能体的整合为解决这一语义鸿沟提供了方案，但需要严格的结构化支撑以防止几何谬误。LE-DEGN 框架的创新之处在于其独特的“三核”共生，它融合了 LLM 驱动的语义时间窗生成与强制执行严格转向和宽度惩罚的运动学引擎。通过 AOCC指标评估这一混合架构，本研究提供了一个极具原创性且可扩展的框架，弥补了纯拓扑优化与以人为本的城市推理之间的差距，代表了自主街景路径规划的最先进水平。</w:t>
      </w:r>
    </w:p>
    <w:p w14:paraId="6DF20992">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p>
    <w:p w14:paraId="7ADF890D">
      <w:pPr>
        <w:pStyle w:val="3"/>
        <w:keepNext w:val="0"/>
        <w:keepLines w:val="0"/>
        <w:pageBreakBefore w:val="0"/>
        <w:widowControl/>
        <w:kinsoku/>
        <w:wordWrap/>
        <w:overflowPunct/>
        <w:topLinePunct w:val="0"/>
        <w:autoSpaceDE/>
        <w:autoSpaceDN/>
        <w:bidi w:val="0"/>
        <w:adjustRightInd/>
        <w:snapToGrid/>
        <w:spacing w:line="0" w:lineRule="atLeast"/>
        <w:ind w:firstLine="602" w:firstLineChars="200"/>
        <w:jc w:val="left"/>
        <w:textAlignment w:val="baseline"/>
        <w:rPr>
          <w:rFonts w:hint="default" w:ascii="Times New Roman" w:hAnsi="Times New Roman" w:cs="Times New Roman"/>
        </w:rPr>
      </w:pPr>
      <w:r>
        <w:rPr>
          <w:rFonts w:hint="default" w:ascii="Times New Roman" w:hAnsi="Times New Roman" w:cs="Times New Roman"/>
        </w:rPr>
        <w:t xml:space="preserve">参考文献 </w:t>
      </w:r>
    </w:p>
    <w:p w14:paraId="4DEC386A">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Edmonds, J., &amp; Johnson, E. L. (1973). Matching, Euler tours and the Chinese postman. </w:t>
      </w:r>
      <w:r>
        <w:rPr>
          <w:rFonts w:hint="default" w:ascii="Times New Roman" w:hAnsi="Times New Roman" w:cs="Times New Roman"/>
          <w:i/>
          <w:iCs/>
          <w:sz w:val="21"/>
          <w:szCs w:val="21"/>
        </w:rPr>
        <w:t>Mathematical Programming</w:t>
      </w:r>
      <w:r>
        <w:rPr>
          <w:rFonts w:hint="default" w:ascii="Times New Roman" w:hAnsi="Times New Roman" w:cs="Times New Roman"/>
          <w:sz w:val="21"/>
          <w:szCs w:val="21"/>
        </w:rPr>
        <w:t>, 5(1), 88-124.</w:t>
      </w:r>
    </w:p>
    <w:p w14:paraId="3B2F2703">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Papadimitriou, C. H. (1976). On the complexity of edge traversing. </w:t>
      </w:r>
      <w:r>
        <w:rPr>
          <w:rFonts w:hint="default" w:ascii="Times New Roman" w:hAnsi="Times New Roman" w:cs="Times New Roman"/>
          <w:i/>
          <w:iCs/>
          <w:sz w:val="21"/>
          <w:szCs w:val="21"/>
        </w:rPr>
        <w:t>Journal of the ACM</w:t>
      </w:r>
      <w:r>
        <w:rPr>
          <w:rFonts w:hint="default" w:ascii="Times New Roman" w:hAnsi="Times New Roman" w:cs="Times New Roman"/>
          <w:sz w:val="21"/>
          <w:szCs w:val="21"/>
        </w:rPr>
        <w:t>, 23(3), 544-554.</w:t>
      </w:r>
    </w:p>
    <w:p w14:paraId="6F58A932">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Frederickson, G. N. (1979). Approximation algorithms for some postman problems. </w:t>
      </w:r>
      <w:r>
        <w:rPr>
          <w:rFonts w:hint="default" w:ascii="Times New Roman" w:hAnsi="Times New Roman" w:cs="Times New Roman"/>
          <w:i/>
          <w:iCs/>
          <w:sz w:val="21"/>
          <w:szCs w:val="21"/>
        </w:rPr>
        <w:t>Journal of the ACM</w:t>
      </w:r>
      <w:r>
        <w:rPr>
          <w:rFonts w:hint="default" w:ascii="Times New Roman" w:hAnsi="Times New Roman" w:cs="Times New Roman"/>
          <w:sz w:val="21"/>
          <w:szCs w:val="21"/>
        </w:rPr>
        <w:t>, 26(3), 538-554.</w:t>
      </w:r>
    </w:p>
    <w:p w14:paraId="5626FB6C">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Raghavachari, B., &amp; Veerasamy, J. (1999). A 3/2-approximation algorithm for the mixed postman problem. </w:t>
      </w:r>
      <w:r>
        <w:rPr>
          <w:rFonts w:hint="default" w:ascii="Times New Roman" w:hAnsi="Times New Roman" w:cs="Times New Roman"/>
          <w:i/>
          <w:iCs/>
          <w:sz w:val="21"/>
          <w:szCs w:val="21"/>
        </w:rPr>
        <w:t>SIAM Journal on Discrete Mathematics</w:t>
      </w:r>
      <w:r>
        <w:rPr>
          <w:rFonts w:hint="default" w:ascii="Times New Roman" w:hAnsi="Times New Roman" w:cs="Times New Roman"/>
          <w:sz w:val="21"/>
          <w:szCs w:val="21"/>
        </w:rPr>
        <w:t>, 12(4), 425-433.</w:t>
      </w:r>
    </w:p>
    <w:p w14:paraId="10BFC1C1">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Benavent, E., &amp; Soler, D. (1999). The directed rural postman problem with turn penalties. </w:t>
      </w:r>
      <w:r>
        <w:rPr>
          <w:rFonts w:hint="default" w:ascii="Times New Roman" w:hAnsi="Times New Roman" w:cs="Times New Roman"/>
          <w:i/>
          <w:iCs/>
          <w:sz w:val="21"/>
          <w:szCs w:val="21"/>
        </w:rPr>
        <w:t>Transportation Science</w:t>
      </w:r>
      <w:r>
        <w:rPr>
          <w:rFonts w:hint="default" w:ascii="Times New Roman" w:hAnsi="Times New Roman" w:cs="Times New Roman"/>
          <w:sz w:val="21"/>
          <w:szCs w:val="21"/>
        </w:rPr>
        <w:t>, 33(4), 408-418.</w:t>
      </w:r>
    </w:p>
    <w:p w14:paraId="292DC192">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Corberán, Á., Erdoğan, G., Laporte, G., Plana, I., &amp; Sanchis, J. M. (2018). The Chinese postman problem with load-dependent costs. </w:t>
      </w:r>
      <w:r>
        <w:rPr>
          <w:rFonts w:hint="default" w:ascii="Times New Roman" w:hAnsi="Times New Roman" w:cs="Times New Roman"/>
          <w:i/>
          <w:iCs/>
          <w:sz w:val="21"/>
          <w:szCs w:val="21"/>
        </w:rPr>
        <w:t>Transportation Science</w:t>
      </w:r>
      <w:r>
        <w:rPr>
          <w:rFonts w:hint="default" w:ascii="Times New Roman" w:hAnsi="Times New Roman" w:cs="Times New Roman"/>
          <w:sz w:val="21"/>
          <w:szCs w:val="21"/>
        </w:rPr>
        <w:t>, 52(2), 370-385.</w:t>
      </w:r>
    </w:p>
    <w:p w14:paraId="0D0E9E67">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Dudzik, A., &amp; Veličković, P. (2022). Graph neural networks are dynamic programmers. </w:t>
      </w:r>
      <w:r>
        <w:rPr>
          <w:rFonts w:hint="default" w:ascii="Times New Roman" w:hAnsi="Times New Roman" w:cs="Times New Roman"/>
          <w:i/>
          <w:iCs/>
          <w:sz w:val="21"/>
          <w:szCs w:val="21"/>
        </w:rPr>
        <w:t>Advances in Neural Information Processing Systems</w:t>
      </w:r>
      <w:r>
        <w:rPr>
          <w:rFonts w:hint="default" w:ascii="Times New Roman" w:hAnsi="Times New Roman" w:cs="Times New Roman"/>
          <w:sz w:val="21"/>
          <w:szCs w:val="21"/>
        </w:rPr>
        <w:t>, 35, 20635-20647.</w:t>
      </w:r>
    </w:p>
    <w:p w14:paraId="6FFD68BA">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Hy, T. S., &amp; Tran, C. D. (2024). Graph Attention-based Deep Reinforcement Learning for solving the Chinese Postman Problem with Load-dependent costs. </w:t>
      </w:r>
      <w:r>
        <w:rPr>
          <w:rFonts w:hint="default" w:ascii="Times New Roman" w:hAnsi="Times New Roman" w:cs="Times New Roman"/>
          <w:i/>
          <w:iCs/>
          <w:sz w:val="21"/>
          <w:szCs w:val="21"/>
        </w:rPr>
        <w:t>arXiv preprint arXiv:2310.15516</w:t>
      </w:r>
      <w:r>
        <w:rPr>
          <w:rFonts w:hint="default" w:ascii="Times New Roman" w:hAnsi="Times New Roman" w:cs="Times New Roman"/>
          <w:sz w:val="21"/>
          <w:szCs w:val="21"/>
        </w:rPr>
        <w:t>.</w:t>
      </w:r>
    </w:p>
    <w:p w14:paraId="2049F60B">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Wang, Y., Jia, Y. H., Chen, W. N., &amp; Mei, Y. (2025). Distance-Aware Attention Reshaping for Enhancing Generalization of Neural Solvers. </w:t>
      </w:r>
      <w:r>
        <w:rPr>
          <w:rFonts w:hint="default" w:ascii="Times New Roman" w:hAnsi="Times New Roman" w:cs="Times New Roman"/>
          <w:i/>
          <w:iCs/>
          <w:sz w:val="21"/>
          <w:szCs w:val="21"/>
        </w:rPr>
        <w:t>IEEE Transactions on Neural Networks and Learning Systems</w:t>
      </w:r>
      <w:r>
        <w:rPr>
          <w:rFonts w:hint="default" w:ascii="Times New Roman" w:hAnsi="Times New Roman" w:cs="Times New Roman"/>
          <w:sz w:val="21"/>
          <w:szCs w:val="21"/>
        </w:rPr>
        <w:t>.</w:t>
      </w:r>
    </w:p>
    <w:p w14:paraId="70A3D578">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Zheng, Z., Zhou, C., Xialiang, T., Yuan, M., &amp; Wang, Z. (2024). UDC: A Unified Neural Divide-and-Conquer Framework for Large-Scale Combinatorial Optimization Problems. </w:t>
      </w:r>
      <w:r>
        <w:rPr>
          <w:rFonts w:hint="default" w:ascii="Times New Roman" w:hAnsi="Times New Roman" w:cs="Times New Roman"/>
          <w:i/>
          <w:iCs/>
          <w:sz w:val="21"/>
          <w:szCs w:val="21"/>
        </w:rPr>
        <w:t>Advances in Neural Information Processing Systems</w:t>
      </w:r>
      <w:r>
        <w:rPr>
          <w:rFonts w:hint="default" w:ascii="Times New Roman" w:hAnsi="Times New Roman" w:cs="Times New Roman"/>
          <w:sz w:val="21"/>
          <w:szCs w:val="21"/>
        </w:rPr>
        <w:t>, 37.</w:t>
      </w:r>
    </w:p>
    <w:p w14:paraId="7B1918E5">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Berto, F., Hua, C., Cao, Z., Kwon, C., &amp; Park, J. (2025). RRNCO: Towards Real-World Routing with Neural Combinatorial Optimization. </w:t>
      </w:r>
      <w:r>
        <w:rPr>
          <w:rFonts w:hint="default" w:ascii="Times New Roman" w:hAnsi="Times New Roman" w:cs="Times New Roman"/>
          <w:i/>
          <w:iCs/>
          <w:sz w:val="21"/>
          <w:szCs w:val="21"/>
        </w:rPr>
        <w:t>arXiv preprint arXiv:2503.16159</w:t>
      </w:r>
      <w:r>
        <w:rPr>
          <w:rFonts w:hint="default" w:ascii="Times New Roman" w:hAnsi="Times New Roman" w:cs="Times New Roman"/>
          <w:sz w:val="21"/>
          <w:szCs w:val="21"/>
        </w:rPr>
        <w:t>.</w:t>
      </w:r>
    </w:p>
    <w:p w14:paraId="0B29D7B0">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Gundawar, A., Valmeekam, K., Verma, M., &amp; Kambhampati, S. (2024). Robust Planning with Compound LLM Architectures: An LLM-Modulo Approach. </w:t>
      </w:r>
      <w:r>
        <w:rPr>
          <w:rFonts w:hint="default" w:ascii="Times New Roman" w:hAnsi="Times New Roman" w:cs="Times New Roman"/>
          <w:i/>
          <w:iCs/>
          <w:sz w:val="21"/>
          <w:szCs w:val="21"/>
        </w:rPr>
        <w:t>arXiv preprint arXiv:2411.14484</w:t>
      </w:r>
      <w:r>
        <w:rPr>
          <w:rFonts w:hint="default" w:ascii="Times New Roman" w:hAnsi="Times New Roman" w:cs="Times New Roman"/>
          <w:sz w:val="21"/>
          <w:szCs w:val="21"/>
        </w:rPr>
        <w:t>.</w:t>
      </w:r>
    </w:p>
    <w:p w14:paraId="50C24D3E">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Meng, S., Wang, Y., Yang, C. F., Peng, N., &amp; Chang, K. W. (2024). LLM-A*: Large Language Model Enhanced Incremental Heuristic Search on Path Planning. </w:t>
      </w:r>
      <w:r>
        <w:rPr>
          <w:rFonts w:hint="default" w:ascii="Times New Roman" w:hAnsi="Times New Roman" w:cs="Times New Roman"/>
          <w:i/>
          <w:iCs/>
          <w:sz w:val="21"/>
          <w:szCs w:val="21"/>
        </w:rPr>
        <w:t>Findings of the Association for Computational Linguistics: EMNLP</w:t>
      </w:r>
      <w:r>
        <w:rPr>
          <w:rFonts w:hint="default" w:ascii="Times New Roman" w:hAnsi="Times New Roman" w:cs="Times New Roman"/>
          <w:sz w:val="21"/>
          <w:szCs w:val="21"/>
        </w:rPr>
        <w:t>.</w:t>
      </w:r>
    </w:p>
    <w:p w14:paraId="630E9DAF">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Li, K., Liu, F., Wang, Z., Tong, X., &amp; Yuan, M. (2025). ARS: Automatic Routing Solver with Large Language Models. </w:t>
      </w:r>
      <w:r>
        <w:rPr>
          <w:rFonts w:hint="default" w:ascii="Times New Roman" w:hAnsi="Times New Roman" w:cs="Times New Roman"/>
          <w:i/>
          <w:iCs/>
          <w:sz w:val="21"/>
          <w:szCs w:val="21"/>
        </w:rPr>
        <w:t>arXiv preprint arXiv:2502.15359</w:t>
      </w:r>
      <w:r>
        <w:rPr>
          <w:rFonts w:hint="default" w:ascii="Times New Roman" w:hAnsi="Times New Roman" w:cs="Times New Roman"/>
          <w:sz w:val="21"/>
          <w:szCs w:val="21"/>
        </w:rPr>
        <w:t>.</w:t>
      </w:r>
    </w:p>
    <w:p w14:paraId="19D5026D">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Liu, X., Hu, J., Li, Y., Diao, S., Liang, Y., Hooi, B., &amp; Zimmermann, R. (2024). UniTime: A language-empowered unified model for cross-domain time series forecasting. </w:t>
      </w:r>
      <w:r>
        <w:rPr>
          <w:rFonts w:hint="default" w:ascii="Times New Roman" w:hAnsi="Times New Roman" w:cs="Times New Roman"/>
          <w:i/>
          <w:iCs/>
          <w:sz w:val="21"/>
          <w:szCs w:val="21"/>
        </w:rPr>
        <w:t>Proceedings of the ACM Web Conference</w:t>
      </w:r>
      <w:r>
        <w:rPr>
          <w:rFonts w:hint="default" w:ascii="Times New Roman" w:hAnsi="Times New Roman" w:cs="Times New Roman"/>
          <w:sz w:val="21"/>
          <w:szCs w:val="21"/>
        </w:rPr>
        <w:t>.</w:t>
      </w:r>
    </w:p>
    <w:p w14:paraId="1897692C">
      <w:pPr>
        <w:keepNext w:val="0"/>
        <w:keepLines w:val="0"/>
        <w:pageBreakBefore w:val="0"/>
        <w:widowControl/>
        <w:numPr>
          <w:ilvl w:val="0"/>
          <w:numId w:val="1"/>
        </w:numPr>
        <w:kinsoku/>
        <w:wordWrap/>
        <w:overflowPunct/>
        <w:topLinePunct w:val="0"/>
        <w:autoSpaceDE/>
        <w:autoSpaceDN/>
        <w:bidi w:val="0"/>
        <w:adjustRightInd/>
        <w:snapToGrid/>
        <w:spacing w:line="0" w:lineRule="atLeast"/>
        <w:ind w:left="425" w:leftChars="0" w:firstLine="420" w:firstLineChars="20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 xml:space="preserve">Huang, Q., Zhou, Z., Yang, K., Lin, G., Yi, Z., &amp; Wang, Y. (2024). LeRet: Language-empowered retentive network for time series forecasting. </w:t>
      </w:r>
      <w:r>
        <w:rPr>
          <w:rFonts w:hint="default" w:ascii="Times New Roman" w:hAnsi="Times New Roman" w:cs="Times New Roman"/>
          <w:i/>
          <w:iCs/>
          <w:sz w:val="21"/>
          <w:szCs w:val="21"/>
        </w:rPr>
        <w:t>Proceedings of the 33rd International Joint Conference on Artificial Intelligence</w:t>
      </w:r>
      <w:r>
        <w:rPr>
          <w:rFonts w:hint="default" w:ascii="Times New Roman" w:hAnsi="Times New Roman" w:cs="Times New Roman"/>
          <w:sz w:val="21"/>
          <w:szCs w:val="21"/>
        </w:rPr>
        <w:t>.</w:t>
      </w:r>
    </w:p>
    <w:p w14:paraId="3F76FFBD">
      <w:pPr>
        <w:keepNext w:val="0"/>
        <w:keepLines w:val="0"/>
        <w:pageBreakBefore w:val="0"/>
        <w:widowControl w:val="0"/>
        <w:kinsoku/>
        <w:wordWrap/>
        <w:overflowPunct/>
        <w:topLinePunct w:val="0"/>
        <w:autoSpaceDE/>
        <w:autoSpaceDN/>
        <w:bidi w:val="0"/>
        <w:adjustRightInd/>
        <w:snapToGrid/>
        <w:spacing w:before="200" w:line="0" w:lineRule="atLeast"/>
        <w:ind w:firstLine="420" w:firstLineChars="200"/>
        <w:textAlignment w:val="auto"/>
      </w:pPr>
    </w:p>
    <w:p w14:paraId="57D38F30">
      <w:pPr>
        <w:pageBreakBefore w:val="0"/>
        <w:kinsoku/>
        <w:wordWrap/>
        <w:overflowPunct/>
        <w:topLinePunct w:val="0"/>
        <w:autoSpaceDE/>
        <w:autoSpaceDN/>
        <w:bidi w:val="0"/>
        <w:adjustRightInd/>
        <w:snapToGrid/>
        <w:ind w:firstLine="420" w:firstLineChars="20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DB7953"/>
    <w:multiLevelType w:val="singleLevel"/>
    <w:tmpl w:val="7DDB7953"/>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DE566B"/>
    <w:rsid w:val="3D694D20"/>
    <w:rsid w:val="72DE5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qFormat/>
    <w:uiPriority w:val="0"/>
    <w:pPr>
      <w:spacing w:before="300" w:after="120" w:line="488" w:lineRule="exact"/>
      <w:outlineLvl w:val="2"/>
    </w:pPr>
    <w:rPr>
      <w:b/>
      <w:sz w:val="30"/>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2026-05-06T08:26:00Z</dcterms:created>
  <dc:creator>WPS_1723184887</dc:creator>
  <cp:lastModifiedBy>WPS_1723184887</cp:lastModifiedBy>
  <dcterms:modified xsi:type="dcterms:W3CDTF">2026-05-06T08:32:40Z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C04242831B15411C8BEB9086436CB525_11</vt:lpwstr>
  </property>
  <property fmtid="{D5CDD505-2E9C-101B-9397-08002B2CF9AE}" pid="4" name="KSOTemplateDocerSaveRecord">
    <vt:lpwstr>eyJoZGlkIjoiNDBkNGE0MjEwMThhMTVhYWNjY2I3MWM0NjIyZTU0MTIiLCJ1c2VySWQiOiIxNjIxMTI2ODEyIn0=</vt:lpwstr>
  </property>
</Properties>
</file>