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sz w:val="36"/>
          <w:szCs w:val="36"/>
        </w:rPr>
        <w:t xml:space="preserve">Experimental Evaluation / 实验评估</w:t>
      </w:r>
    </w:p>
    <w:p/>
    <w:p>
      <w:pPr>
        <w:pStyle w:val="Heading1"/>
      </w:pPr>
      <w:r>
        <w:t xml:space="preserve">4. Experimental Setup and Methodology / 实验设置与方法</w:t>
      </w:r>
    </w:p>
    <w:p>
      <w:pPr>
        <w:pStyle w:val="Heading2"/>
      </w:pPr>
      <w:r>
        <w:t xml:space="preserve">4.1 Experimental Environment / 实验环境</w:t>
      </w:r>
    </w:p>
    <w:p>
      <w:r>
        <w:t xml:space="preserve">All experiments were conducted on a standard computing environment with Python 3.8+, PyTorch 2.0+, and NetworkX for graph operations. The LE-DEGN system and baseline methods were evaluated on synthetic urban road networks generated with realistic parameters derived from real-world old town characteristics.</w:t>
      </w:r>
    </w:p>
    <w:p>
      <w:r>
        <w:rPr>
          <w:i/>
          <w:iCs/>
          <w:color w:val="666666"/>
        </w:rPr>
        <w:t xml:space="preserve">所有实验均在标准计算环境中进行，使用Python 3.8+、PyTorch 2.0+和NetworkX进行图操作。LE-DEGN系统和基线方法在合成城市路网上进行评估，这些路网使用从现实世界老城区特征导出的真实参数生成。</w:t>
      </w:r>
    </w:p>
    <w:p/>
    <w:p>
      <w:pPr>
        <w:pStyle w:val="Heading2"/>
      </w:pPr>
      <w:r>
        <w:t xml:space="preserve">4.2 Dataset Generation / 数据集生成</w:t>
      </w:r>
    </w:p>
    <w:p>
      <w:r>
        <w:t xml:space="preserve">The road network environment was constructed using the RoadNetworkEnv class, which generates mixed unidirectional/bidirectional urban street networks with the following characteristics:</w:t>
      </w:r>
    </w:p>
    <w:p>
      <w:r>
        <w:rPr>
          <w:i/>
          <w:iCs/>
          <w:color w:val="666666"/>
        </w:rPr>
        <w:t xml:space="preserve">道路网络环境使用RoadNetworkEnv类构建，该类生成具有以下特征的混合单向/双向城市街道网络：</w:t>
      </w:r>
    </w:p>
    <w:p/>
    <w:p>
      <w:pPr>
        <w:jc w:val="center"/>
      </w:pPr>
      <w:r>
        <w:rPr>
          <w:b/>
          <w:bCs/>
        </w:rPr>
        <w:t xml:space="preserve">Table 1: Road Network Parameters / 表1：道路网络参数</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00"/>
      </w:tblGrid>
      <w:tr>
        <w:trPr>
          <w:cantSplit/>
        </w:trPr>
        <w:tc>
          <w:tcPr>
            <w:shd w:fill="D5E8F0" w:val="clear"/>
          </w:tcPr>
          <w:p>
            <w:r>
              <w:rPr>
                <w:b/>
                <w:bCs/>
              </w:rPr>
              <w:t xml:space="preserve">Parameter / 参数</w:t>
            </w:r>
          </w:p>
        </w:tc>
        <w:tc>
          <w:tcPr>
            <w:shd w:fill="D5E8F0" w:val="clear"/>
          </w:tcPr>
          <w:p>
            <w:r>
              <w:rPr>
                <w:b/>
                <w:bCs/>
              </w:rPr>
              <w:t xml:space="preserve">Value / 数值</w:t>
            </w:r>
          </w:p>
        </w:tc>
        <w:tc>
          <w:tcPr>
            <w:shd w:fill="D5E8F0" w:val="clear"/>
          </w:tcPr>
          <w:p>
            <w:r>
              <w:rPr>
                <w:b/>
                <w:bCs/>
              </w:rPr>
              <w:t xml:space="preserve">Description / 描述</w:t>
            </w:r>
          </w:p>
        </w:tc>
      </w:tr>
      <w:tr>
        <w:trPr>
          <w:cantSplit/>
        </w:trPr>
        <w:tc>
          <w:p>
            <w:r>
              <w:t xml:space="preserve">Average Degree / 平均度</w:t>
            </w:r>
          </w:p>
        </w:tc>
        <w:tc>
          <w:p>
            <w:r>
              <w:t xml:space="preserve">2.7</w:t>
            </w:r>
          </w:p>
        </w:tc>
        <w:tc>
          <w:p>
            <w:r>
              <w:t xml:space="preserve">Average connectivity per node / 每个节点的平均连接数</w:t>
            </w:r>
          </w:p>
        </w:tc>
      </w:tr>
      <w:tr>
        <w:trPr>
          <w:cantSplit/>
        </w:trPr>
        <w:tc>
          <w:p>
            <w:r>
              <w:t xml:space="preserve">T-junction Ratio / T型路口比例</w:t>
            </w:r>
          </w:p>
        </w:tc>
        <w:tc>
          <w:p>
            <w:r>
              <w:t xml:space="preserve">0.65</w:t>
            </w:r>
          </w:p>
        </w:tc>
        <w:tc>
          <w:p>
            <w:r>
              <w:t xml:space="preserve">Proportion of T-shaped intersections / T型交叉口比例</w:t>
            </w:r>
          </w:p>
        </w:tc>
      </w:tr>
      <w:tr>
        <w:trPr>
          <w:cantSplit/>
        </w:trPr>
        <w:tc>
          <w:p>
            <w:r>
              <w:t xml:space="preserve">Cross-junction Ratio / 十字路口比例</w:t>
            </w:r>
          </w:p>
        </w:tc>
        <w:tc>
          <w:p>
            <w:r>
              <w:t xml:space="preserve">0.18</w:t>
            </w:r>
          </w:p>
        </w:tc>
        <w:tc>
          <w:p>
            <w:r>
              <w:t xml:space="preserve">Proportion of four-way intersections / 四路交叉口比例</w:t>
            </w:r>
          </w:p>
        </w:tc>
      </w:tr>
      <w:tr>
        <w:trPr>
          <w:cantSplit/>
        </w:trPr>
        <w:tc>
          <w:p>
            <w:r>
              <w:t xml:space="preserve">Dead-end Ratio / 死胡同比例</w:t>
            </w:r>
          </w:p>
        </w:tc>
        <w:tc>
          <w:p>
            <w:r>
              <w:t xml:space="preserve">0.07</w:t>
            </w:r>
          </w:p>
        </w:tc>
        <w:tc>
          <w:p>
            <w:r>
              <w:t xml:space="preserve">Proportion of terminal nodes / 终端节点比例</w:t>
            </w:r>
          </w:p>
        </w:tc>
      </w:tr>
      <w:tr>
        <w:trPr>
          <w:cantSplit/>
        </w:trPr>
        <w:tc>
          <w:p>
            <w:r>
              <w:t xml:space="preserve">Segment Length Mean / 路段平均长度</w:t>
            </w:r>
          </w:p>
        </w:tc>
        <w:tc>
          <w:p>
            <w:r>
              <w:t xml:space="preserve">80m</w:t>
            </w:r>
          </w:p>
        </w:tc>
        <w:tc>
          <w:p>
            <w:r>
              <w:t xml:space="preserve">Average road segment length / 道路段平均长度</w:t>
            </w:r>
          </w:p>
        </w:tc>
      </w:tr>
      <w:tr>
        <w:trPr>
          <w:cantSplit/>
        </w:trPr>
        <w:tc>
          <w:p>
            <w:r>
              <w:t xml:space="preserve">Left Turn Penalty / 左转惩罚</w:t>
            </w:r>
          </w:p>
        </w:tc>
        <w:tc>
          <w:p>
            <w:r>
              <w:t xml:space="preserve">1.5</w:t>
            </w:r>
          </w:p>
        </w:tc>
        <w:tc>
          <w:p>
            <w:r>
              <w:t xml:space="preserve">Cost multiplier for left turns / 左转成本乘数</w:t>
            </w:r>
          </w:p>
        </w:tc>
      </w:tr>
      <w:tr>
        <w:trPr>
          <w:cantSplit/>
        </w:trPr>
        <w:tc>
          <w:p>
            <w:r>
              <w:t xml:space="preserve">U-turn Penalty / 掉头惩罚</w:t>
            </w:r>
          </w:p>
        </w:tc>
        <w:tc>
          <w:p>
            <w:r>
              <w:t xml:space="preserve">7.0</w:t>
            </w:r>
          </w:p>
        </w:tc>
        <w:tc>
          <w:p>
            <w:r>
              <w:t xml:space="preserve">Cost multiplier for U-turns / 掉头成本乘数</w:t>
            </w:r>
          </w:p>
        </w:tc>
      </w:tr>
    </w:tbl>
    <w:p/>
    <w:p>
      <w:r>
        <w:t xml:space="preserve">The network topology incorporates five distinct road types with varying speed factors and congestion probabilities:</w:t>
      </w:r>
    </w:p>
    <w:p>
      <w:r>
        <w:rPr>
          <w:i/>
          <w:iCs/>
          <w:color w:val="666666"/>
        </w:rPr>
        <w:t xml:space="preserve">网络拓扑包含五种不同的道路类型，具有不同的速度因子和拥堵概率：</w:t>
      </w:r>
    </w:p>
    <w:p/>
    <w:p>
      <w:pPr>
        <w:jc w:val="center"/>
      </w:pPr>
      <w:r>
        <w:rPr>
          <w:b/>
          <w:bCs/>
        </w:rPr>
        <w:t xml:space="preserve">Table 2: Road Type Characteristics / 表2：道路类型特征</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200"/>
        <w:gridCol w:w="1800"/>
        <w:gridCol w:w="2200"/>
      </w:tblGrid>
      <w:tr>
        <w:trPr>
          <w:cantSplit/>
        </w:trPr>
        <w:tc>
          <w:tcPr>
            <w:shd w:fill="D5E8F0" w:val="clear"/>
          </w:tcPr>
          <w:p>
            <w:r>
              <w:rPr>
                <w:b/>
                <w:bCs/>
              </w:rPr>
              <w:t xml:space="preserve">Road Type / 道路类型</w:t>
            </w:r>
          </w:p>
        </w:tc>
        <w:tc>
          <w:tcPr>
            <w:shd w:fill="D5E8F0" w:val="clear"/>
          </w:tcPr>
          <w:p>
            <w:r>
              <w:rPr>
                <w:b/>
                <w:bCs/>
              </w:rPr>
              <w:t xml:space="preserve">Speed Factor / 速度因子</w:t>
            </w:r>
          </w:p>
        </w:tc>
        <w:tc>
          <w:tcPr>
            <w:shd w:fill="D5E8F0" w:val="clear"/>
          </w:tcPr>
          <w:p>
            <w:r>
              <w:rPr>
                <w:b/>
                <w:bCs/>
              </w:rPr>
              <w:t xml:space="preserve">Congestion Prob / 拥堵概率</w:t>
            </w:r>
          </w:p>
        </w:tc>
        <w:tc>
          <w:tcPr>
            <w:shd w:fill="D5E8F0" w:val="clear"/>
          </w:tcPr>
          <w:p>
            <w:r>
              <w:rPr>
                <w:b/>
                <w:bCs/>
              </w:rPr>
              <w:t xml:space="preserve">Time Window / 时间窗口</w:t>
            </w:r>
          </w:p>
        </w:tc>
        <w:tc>
          <w:tcPr>
            <w:shd w:fill="D5E8F0" w:val="clear"/>
          </w:tcPr>
          <w:p>
            <w:r>
              <w:rPr>
                <w:b/>
                <w:bCs/>
              </w:rPr>
              <w:t xml:space="preserve">Characteristic / 特征</w:t>
            </w:r>
          </w:p>
        </w:tc>
      </w:tr>
      <w:tr>
        <w:trPr>
          <w:cantSplit/>
        </w:trPr>
        <w:tc>
          <w:p>
            <w:r>
              <w:t xml:space="preserve">Main Road / 主干道</w:t>
            </w:r>
          </w:p>
        </w:tc>
        <w:tc>
          <w:p>
            <w:r>
              <w:t xml:space="preserve">1.2</w:t>
            </w:r>
          </w:p>
        </w:tc>
        <w:tc>
          <w:p>
            <w:r>
              <w:t xml:space="preserve">0.2</w:t>
            </w:r>
          </w:p>
        </w:tc>
        <w:tc>
          <w:p>
            <w:r>
              <w:t xml:space="preserve">00:00-24:00</w:t>
            </w:r>
          </w:p>
        </w:tc>
        <w:tc>
          <w:p>
            <w:r>
              <w:t xml:space="preserve">High speed, low congestion / 高速低拥堵</w:t>
            </w:r>
          </w:p>
        </w:tc>
      </w:tr>
      <w:tr>
        <w:trPr>
          <w:cantSplit/>
        </w:trPr>
        <w:tc>
          <w:p>
            <w:r>
              <w:t xml:space="preserve">Commercial / 商业区</w:t>
            </w:r>
          </w:p>
        </w:tc>
        <w:tc>
          <w:p>
            <w:r>
              <w:t xml:space="preserve">0.5</w:t>
            </w:r>
          </w:p>
        </w:tc>
        <w:tc>
          <w:p>
            <w:r>
              <w:t xml:space="preserve">0.4</w:t>
            </w:r>
          </w:p>
        </w:tc>
        <w:tc>
          <w:p>
            <w:r>
              <w:t xml:space="preserve">00:00-24:00</w:t>
            </w:r>
          </w:p>
        </w:tc>
        <w:tc>
          <w:p>
            <w:r>
              <w:t xml:space="preserve">Low speed, moderate congestion / 低速中等拥堵</w:t>
            </w:r>
          </w:p>
        </w:tc>
      </w:tr>
      <w:tr>
        <w:trPr>
          <w:cantSplit/>
        </w:trPr>
        <w:tc>
          <w:p>
            <w:r>
              <w:t xml:space="preserve">School Zone / 学校区域</w:t>
            </w:r>
          </w:p>
        </w:tc>
        <w:tc>
          <w:p>
            <w:r>
              <w:t xml:space="preserve">0.6</w:t>
            </w:r>
          </w:p>
        </w:tc>
        <w:tc>
          <w:p>
            <w:r>
              <w:t xml:space="preserve">0.5</w:t>
            </w:r>
          </w:p>
        </w:tc>
        <w:tc>
          <w:p>
            <w:r>
              <w:t xml:space="preserve">09:00-17:00</w:t>
            </w:r>
          </w:p>
        </w:tc>
        <w:tc>
          <w:p>
            <w:r>
              <w:t xml:space="preserve">Peak-hour congestion / 高峰拥堵</w:t>
            </w:r>
          </w:p>
        </w:tc>
      </w:tr>
      <w:tr>
        <w:trPr>
          <w:cantSplit/>
        </w:trPr>
        <w:tc>
          <w:p>
            <w:r>
              <w:t xml:space="preserve">Residential / 居民区</w:t>
            </w:r>
          </w:p>
        </w:tc>
        <w:tc>
          <w:p>
            <w:r>
              <w:t xml:space="preserve">0.7</w:t>
            </w:r>
          </w:p>
        </w:tc>
        <w:tc>
          <w:p>
            <w:r>
              <w:t xml:space="preserve">0.3</w:t>
            </w:r>
          </w:p>
        </w:tc>
        <w:tc>
          <w:p>
            <w:r>
              <w:t xml:space="preserve">00:00-24:00</w:t>
            </w:r>
          </w:p>
        </w:tc>
        <w:tc>
          <w:p>
            <w:r>
              <w:t xml:space="preserve">Moderate speed, low congestion / 中速低拥堵</w:t>
            </w:r>
          </w:p>
        </w:tc>
      </w:tr>
      <w:tr>
        <w:trPr>
          <w:cantSplit/>
        </w:trPr>
        <w:tc>
          <w:p>
            <w:r>
              <w:t xml:space="preserve">Construction / 施工区</w:t>
            </w:r>
          </w:p>
        </w:tc>
        <w:tc>
          <w:p>
            <w:r>
              <w:t xml:space="preserve">0.3</w:t>
            </w:r>
          </w:p>
        </w:tc>
        <w:tc>
          <w:p>
            <w:r>
              <w:t xml:space="preserve">0.8</w:t>
            </w:r>
          </w:p>
        </w:tc>
        <w:tc>
          <w:p>
            <w:r>
              <w:t xml:space="preserve">00:00-24:00</w:t>
            </w:r>
          </w:p>
        </w:tc>
        <w:tc>
          <w:p>
            <w:r>
              <w:t xml:space="preserve">Very low speed, high congestion / 极低速高拥堵</w:t>
            </w:r>
          </w:p>
        </w:tc>
      </w:tr>
    </w:tbl>
    <w:p/>
    <w:p>
      <w:r>
        <w:t xml:space="preserve">Network sizes of 40, 60, 80, and 100 nodes were evaluated to assess scalability.</w:t>
      </w:r>
    </w:p>
    <w:p>
      <w:r>
        <w:rPr>
          <w:i/>
          <w:iCs/>
          <w:color w:val="666666"/>
        </w:rPr>
        <w:t xml:space="preserve">为了评估可扩展性，对40、60、80和100个节点的网络规模进行了评估。</w:t>
      </w:r>
    </w:p>
    <w:p/>
    <w:p>
      <w:pPr>
        <w:pStyle w:val="Heading2"/>
      </w:pPr>
      <w:r>
        <w:t xml:space="preserve">4.3 Evaluation Metrics / 评估指标</w:t>
      </w:r>
    </w:p>
    <w:p>
      <w:r>
        <w:t xml:space="preserve">The following metrics were employed to comprehensively evaluate algorithm performance:</w:t>
      </w:r>
    </w:p>
    <w:p>
      <w:r>
        <w:rPr>
          <w:i/>
          <w:iCs/>
          <w:color w:val="666666"/>
        </w:rPr>
        <w:t xml:space="preserve">使用以下指标全面评估算法性能：</w:t>
      </w:r>
    </w:p>
    <w:p/>
    <w:p>
      <w:r>
        <w:rPr>
          <w:b/>
          <w:bCs/>
        </w:rPr>
        <w:t xml:space="preserve">1. Total Cost (总成本): </w:t>
      </w:r>
      <w:r>
        <w:t xml:space="preserve">The sum of service costs (fixed edge weights) and transition costs (path-dependent routing costs). 服务成本（固定边权重）和转移成本（路径相关路由成本）的总和。</w:t>
      </w:r>
    </w:p>
    <w:p>
      <w:r>
        <w:rPr>
          <w:b/>
          <w:bCs/>
        </w:rPr>
        <w:t xml:space="preserve">2. AOCC (平均最优收敛曲线): </w:t>
      </w:r>
      <w:r>
        <w:t xml:space="preserve">Average Optimality Convergence Curve - a normalized metric measuring the area under the convergence curve. 平均最优收敛曲线 - 衡量收敛曲线下面积的归一化指标。</w:t>
      </w:r>
    </w:p>
    <w:p>
      <w:r>
        <w:rPr>
          <w:b/>
          <w:bCs/>
        </w:rPr>
        <w:t xml:space="preserve">3. Escape Count (逃逸次数): </w:t>
      </w:r>
      <w:r>
        <w:t xml:space="preserve">The number of times the LHH module was invoked to handle dynamic congestion events. LHH模块被调用来处理动态拥堵事件的次数。</w:t>
      </w:r>
    </w:p>
    <w:p>
      <w:r>
        <w:rPr>
          <w:b/>
          <w:bCs/>
        </w:rPr>
        <w:t xml:space="preserve">4. Execution Time (执行时间): </w:t>
      </w:r>
      <w:r>
        <w:t xml:space="preserve">Wall-clock time for algorithm completion, measured in seconds. 算法完成的挂钟时间，以秒为单位测量。</w:t>
      </w:r>
    </w:p>
    <w:p/>
    <w:p>
      <w:pPr>
        <w:pStyle w:val="Heading2"/>
      </w:pPr>
      <w:r>
        <w:t xml:space="preserve">4.4 Baseline Method / 基线方法</w:t>
      </w:r>
    </w:p>
    <w:p>
      <w:r>
        <w:t xml:space="preserve">The baseline method employed for comparison is a Greedy Nearest-Neighbor heuristic with DHAN-style congestion handling. This baseline constructs routes using a greedy nearest-neighbor strategy based on the precomputed transition cost matrix, attempts multiple random starting points (up to 5), and applies a fixed 15% cost penalty for each congestion escape event.</w:t>
      </w:r>
    </w:p>
    <w:p>
      <w:r>
        <w:rPr>
          <w:i/>
          <w:iCs/>
          <w:color w:val="666666"/>
        </w:rPr>
        <w:t xml:space="preserve">用于比较的基线方法是采用DHAN风格拥堵处理的贪心最近邻启发式算法。该基线使用基于预计算转移成本矩阵的贪心最近邻策略构建路径，尝试多个随机起点（最多5个），并对每次拥堵逃逸事件应用固定的15%成本惩罚。</w:t>
      </w:r>
    </w:p>
    <w:p/>
    <w:p>
      <w:pPr>
        <w:pStyle w:val="Heading2"/>
      </w:pPr>
      <w:r>
        <w:t xml:space="preserve">4.5 LE-DEGN Configuration / LE-DEGN配置</w:t>
      </w:r>
    </w:p>
    <w:p>
      <w:r>
        <w:rPr>
          <w:b/>
          <w:bCs/>
        </w:rPr>
        <w:t xml:space="preserve">ERFM (Edge-centric Route Foundation Model): </w:t>
      </w:r>
      <w:r>
        <w:t xml:space="preserve">Feature dimension: 13, Model dimension: 64, Attention heads: 4, Transformer layers: 3, Training episodes: 50, Learning rate: 5e-4.</w:t>
      </w:r>
    </w:p>
    <w:p>
      <w:r>
        <w:rPr>
          <w:b/>
          <w:bCs/>
        </w:rPr>
        <w:t xml:space="preserve">SA-DGWN (Spatio-Temporal Dynamic Graph Wave Network): </w:t>
      </w:r>
      <w:r>
        <w:t xml:space="preserve">Input features: 2 (speed, flow), Hidden dimension: 32, ST blocks: 2, Training epochs: 30.</w:t>
      </w:r>
    </w:p>
    <w:p>
      <w:r>
        <w:rPr>
          <w:b/>
          <w:bCs/>
        </w:rPr>
        <w:t xml:space="preserve">LHH (Language-driven Heuristic Hub): </w:t>
      </w:r>
      <w:r>
        <w:t xml:space="preserve">5 heuristic templates with reflection-based selection.</w:t>
      </w:r>
    </w:p>
    <w:p/>
    <w:p>
      <w:r>
        <w:br w:type="page"/>
      </w:r>
    </w:p>
    <w:p>
      <w:pPr>
        <w:pStyle w:val="Heading1"/>
      </w:pPr>
      <w:r>
        <w:t xml:space="preserve">5. Experimental Results / 实验结果</w:t>
      </w:r>
    </w:p>
    <w:p>
      <w:pPr>
        <w:pStyle w:val="Heading2"/>
      </w:pPr>
      <w:r>
        <w:t xml:space="preserve">5.1 Overall Performance Comparison / 整体性能比较</w:t>
      </w:r>
    </w:p>
    <w:p>
      <w:r>
        <w:rPr>
          <w:color w:val="FF0000"/>
        </w:rPr>
        <w:t xml:space="preserve">[此处应有图表: Performance Summary Table / 性能汇总表]</w:t>
      </w:r>
    </w:p>
    <w:p/>
    <w:p>
      <w:r>
        <w:t xml:space="preserve">The comprehensive performance comparison between LE-DEGN and the baseline method across different network sizes demonstrates that LE-DEGN consistently achieves lower total costs across all network sizes. The cost improvement ranges from 8.8% to 16.3%, with an average improvement of 12.1%.</w:t>
      </w:r>
    </w:p>
    <w:p>
      <w:r>
        <w:rPr>
          <w:i/>
          <w:iCs/>
          <w:color w:val="666666"/>
        </w:rPr>
        <w:t xml:space="preserve">LE-DEGN与基线方法在不同网络规模下的综合性能比较表明，LE-DEGN在所有网络规模上始终实现更低的总成本。成本改进范围为8.8%至16.3%，平均改进为12.1%。</w:t>
      </w:r>
    </w:p>
    <w:p/>
    <w:p>
      <w:r>
        <w:rPr>
          <w:b/>
          <w:bCs/>
        </w:rPr>
        <w:t xml:space="preserve">Key Results by Network Size / 按网络规模的关键结果:</w:t>
      </w:r>
    </w:p>
    <w:p>
      <w:r>
        <w:t xml:space="preserve">- 40 nodes: 12.7% cost improvement (20,670 vs. 23,665), AOCC: 0.488 vs. 0.633</w:t>
      </w:r>
    </w:p>
    <w:p>
      <w:r>
        <w:t xml:space="preserve">- 60 nodes: 10.4% cost improvement (27,599 vs. 30,807), AOCC: 0.539 vs. 0.699</w:t>
      </w:r>
    </w:p>
    <w:p>
      <w:r>
        <w:t xml:space="preserve">- 80 nodes: 16.3% cost improvement (38,007 vs. 45,429), AOCC: 0.482 vs. 0.530</w:t>
      </w:r>
    </w:p>
    <w:p>
      <w:r>
        <w:t xml:space="preserve">- 100 nodes: 8.8% cost improvement (46,705 vs. 51,242), AOCC: 0.302 vs. 0.457</w:t>
      </w:r>
    </w:p>
    <w:p/>
    <w:p>
      <w:r>
        <w:rPr>
          <w:color w:val="FF0000"/>
        </w:rPr>
        <w:t xml:space="preserve">[此处应有图表: Scalability Analysis / 可扩展性分析]</w:t>
      </w:r>
    </w:p>
    <w:p/>
    <w:p>
      <w:pPr>
        <w:pStyle w:val="Heading2"/>
      </w:pPr>
      <w:r>
        <w:t xml:space="preserve">5.2 Component Ablation Study / 组件消融研究</w:t>
      </w:r>
    </w:p>
    <w:p>
      <w:r>
        <w:t xml:space="preserve">To validate the contribution of each architectural component, we conducted systematic ablation experiments on the 60-node network configuration:</w:t>
      </w:r>
    </w:p>
    <w:p>
      <w:r>
        <w:rPr>
          <w:i/>
          <w:iCs/>
          <w:color w:val="666666"/>
        </w:rPr>
        <w:t xml:space="preserve">为了验证每个架构组件的贡献，我们在60节点网络配置上进行了系统的消融实验：</w:t>
      </w:r>
    </w:p>
    <w:p/>
    <w:p>
      <w:pPr>
        <w:jc w:val="center"/>
      </w:pPr>
      <w:r>
        <w:rPr>
          <w:b/>
          <w:bCs/>
        </w:rPr>
        <w:t xml:space="preserve">Table 4: Ablation Study Results / 表4：消融研究结果</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1800"/>
        <w:gridCol w:w="2200"/>
      </w:tblGrid>
      <w:tr>
        <w:trPr>
          <w:cantSplit/>
        </w:trPr>
        <w:tc>
          <w:tcPr>
            <w:shd w:fill="D5E8F0" w:val="clear"/>
          </w:tcPr>
          <w:p>
            <w:r>
              <w:rPr>
                <w:b/>
                <w:bCs/>
              </w:rPr>
              <w:t xml:space="preserve">Configuration / 配置</w:t>
            </w:r>
          </w:p>
        </w:tc>
        <w:tc>
          <w:tcPr>
            <w:shd w:fill="D5E8F0" w:val="clear"/>
          </w:tcPr>
          <w:p>
            <w:r>
              <w:rPr>
                <w:b/>
                <w:bCs/>
              </w:rPr>
              <w:t xml:space="preserve">Total Cost / 总成本</w:t>
            </w:r>
          </w:p>
        </w:tc>
        <w:tc>
          <w:tcPr>
            <w:shd w:fill="D5E8F0" w:val="clear"/>
          </w:tcPr>
          <w:p>
            <w:r>
              <w:rPr>
                <w:b/>
                <w:bCs/>
              </w:rPr>
              <w:t xml:space="preserve">AOCC</w:t>
            </w:r>
          </w:p>
        </w:tc>
        <w:tc>
          <w:tcPr>
            <w:shd w:fill="D5E8F0" w:val="clear"/>
          </w:tcPr>
          <w:p>
            <w:r>
              <w:rPr>
                <w:b/>
                <w:bCs/>
              </w:rPr>
              <w:t xml:space="preserve">Escapes / 逃逸</w:t>
            </w:r>
          </w:p>
        </w:tc>
        <w:tc>
          <w:tcPr>
            <w:shd w:fill="D5E8F0" w:val="clear"/>
          </w:tcPr>
          <w:p>
            <w:r>
              <w:rPr>
                <w:b/>
                <w:bCs/>
              </w:rPr>
              <w:t xml:space="preserve">Transition Cost / 转移成本</w:t>
            </w:r>
          </w:p>
        </w:tc>
      </w:tr>
      <w:tr>
        <w:trPr>
          <w:cantSplit/>
        </w:trPr>
        <w:tc>
          <w:p>
            <w:r>
              <w:t xml:space="preserve">Full LE-DEGN / 完整系统</w:t>
            </w:r>
          </w:p>
        </w:tc>
        <w:tc>
          <w:p>
            <w:r>
              <w:t xml:space="preserve">27,598.5</w:t>
            </w:r>
          </w:p>
        </w:tc>
        <w:tc>
          <w:p>
            <w:r>
              <w:t xml:space="preserve">0.5387</w:t>
            </w:r>
          </w:p>
        </w:tc>
        <w:tc>
          <w:p>
            <w:r>
              <w:t xml:space="preserve">3</w:t>
            </w:r>
          </w:p>
        </w:tc>
        <w:tc>
          <w:p>
            <w:r>
              <w:t xml:space="preserve">13,487.2</w:t>
            </w:r>
          </w:p>
        </w:tc>
      </w:tr>
      <w:tr>
        <w:trPr>
          <w:cantSplit/>
        </w:trPr>
        <w:tc>
          <w:p>
            <w:r>
              <w:t xml:space="preserve">ERFM Only / 仅ERFM</w:t>
            </w:r>
          </w:p>
        </w:tc>
        <w:tc>
          <w:p>
            <w:r>
              <w:t xml:space="preserve">70,674.0</w:t>
            </w:r>
          </w:p>
        </w:tc>
        <w:tc>
          <w:p>
            <w:r>
              <w:t xml:space="preserve">0.0000</w:t>
            </w:r>
          </w:p>
        </w:tc>
        <w:tc>
          <w:p>
            <w:r>
              <w:t xml:space="preserve">0</w:t>
            </w:r>
          </w:p>
        </w:tc>
        <w:tc>
          <w:p>
            <w:r>
              <w:t xml:space="preserve">53,567.3</w:t>
            </w:r>
          </w:p>
        </w:tc>
      </w:tr>
      <w:tr>
        <w:trPr>
          <w:cantSplit/>
        </w:trPr>
        <w:tc>
          <w:p>
            <w:r>
              <w:t xml:space="preserve">ERFM + LHH</w:t>
            </w:r>
          </w:p>
        </w:tc>
        <w:tc>
          <w:p>
            <w:r>
              <w:t xml:space="preserve">33,761.8</w:t>
            </w:r>
          </w:p>
        </w:tc>
        <w:tc>
          <w:p>
            <w:r>
              <w:t xml:space="preserve">0.2987</w:t>
            </w:r>
          </w:p>
        </w:tc>
        <w:tc>
          <w:p>
            <w:r>
              <w:t xml:space="preserve">3</w:t>
            </w:r>
          </w:p>
        </w:tc>
        <w:tc>
          <w:p>
            <w:r>
              <w:t xml:space="preserve">19,577.4</w:t>
            </w:r>
          </w:p>
        </w:tc>
      </w:tr>
    </w:tbl>
    <w:p/>
    <w:p>
      <w:r>
        <w:rPr>
          <w:color w:val="FF0000"/>
        </w:rPr>
        <w:t xml:space="preserve">[此处应有图表: Component Ablation Study / 组件消融研究]</w:t>
      </w:r>
    </w:p>
    <w:p/>
    <w:p>
      <w:r>
        <w:rPr>
          <w:b/>
          <w:bCs/>
        </w:rPr>
        <w:t xml:space="preserve">Key Findings / 主要发现:</w:t>
      </w:r>
    </w:p>
    <w:p>
      <w:r>
        <w:t xml:space="preserve">1. ERFM Alone is Insufficient: The ERFM-only configuration achieves 2.56x higher cost than the full system, demonstrating that pure edge-centric encoding without dynamic adaptation is inadequate.</w:t>
      </w:r>
    </w:p>
    <w:p>
      <w:r>
        <w:rPr>
          <w:i/>
          <w:iCs/>
          <w:color w:val="666666"/>
        </w:rPr>
        <w:t xml:space="preserve">仅ERFM不足：仅ERFM配置的成本比完整系统高2.56倍，表明没有动态适应的纯边中心编码是不够的。</w:t>
      </w:r>
    </w:p>
    <w:p>
      <w:r>
        <w:t xml:space="preserve">2. LHH Provides Critical Value: Adding LHH to ERFM reduces total cost by 52.2% compared to ERFM alone.</w:t>
      </w:r>
    </w:p>
    <w:p>
      <w:r>
        <w:rPr>
          <w:i/>
          <w:iCs/>
          <w:color w:val="666666"/>
        </w:rPr>
        <w:t xml:space="preserve">LHH提供关键价值：将LHH添加到ERFM中，与仅ERFM相比，总成本降低了52.2%。</w:t>
      </w:r>
    </w:p>
    <w:p>
      <w:r>
        <w:t xml:space="preserve">3. SA-DGWN Enables Proactive Adaptation: The full system achieves an additional 18.3% cost reduction compared to ERFM + LHH.</w:t>
      </w:r>
    </w:p>
    <w:p>
      <w:r>
        <w:rPr>
          <w:i/>
          <w:iCs/>
          <w:color w:val="666666"/>
        </w:rPr>
        <w:t xml:space="preserve">SA-DGWN实现主动适应：与ERFM + LHH相比，完整系统实现了额外的18.3%成本降低。</w:t>
      </w:r>
    </w:p>
    <w:p/>
    <w:p>
      <w:r>
        <w:rPr>
          <w:color w:val="FF0000"/>
        </w:rPr>
        <w:t xml:space="preserve">[此处应有图表: Component Contribution Analysis / 组件贡献分析]</w:t>
      </w:r>
    </w:p>
    <w:p/>
    <w:p>
      <w:pPr>
        <w:pStyle w:val="Heading2"/>
      </w:pPr>
      <w:r>
        <w:t xml:space="preserve">5.3 Congestion Robustness Analysis / 拥堵鲁棒性分析</w:t>
      </w:r>
    </w:p>
    <w:p>
      <w:r>
        <w:t xml:space="preserve">To evaluate robustness under varying congestion levels, we conducted experiments with congestion probabilities of 10%, 20%, and 30%:</w:t>
      </w:r>
    </w:p>
    <w:p>
      <w:r>
        <w:rPr>
          <w:i/>
          <w:iCs/>
          <w:color w:val="666666"/>
        </w:rPr>
        <w:t xml:space="preserve">为了评估在不同拥堵水平下的鲁棒性，我们进行了拥堵概率为10%、20%和30%的实验：</w:t>
      </w:r>
    </w:p>
    <w:p/>
    <w:p>
      <w:pPr>
        <w:jc w:val="center"/>
      </w:pPr>
      <w:r>
        <w:rPr>
          <w:b/>
          <w:bCs/>
        </w:rPr>
        <w:t xml:space="preserve">Table 5: Congestion Robustness Results / 表5：拥堵鲁棒性结果</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gridCol w:w="2000"/>
      </w:tblGrid>
      <w:tr>
        <w:trPr>
          <w:cantSplit/>
        </w:trPr>
        <w:tc>
          <w:tcPr>
            <w:shd w:fill="D5E8F0" w:val="clear"/>
          </w:tcPr>
          <w:p>
            <w:r>
              <w:rPr>
                <w:b/>
                <w:bCs/>
              </w:rPr>
              <w:t xml:space="preserve">Congestion Level / 拥堵水平</w:t>
            </w:r>
          </w:p>
        </w:tc>
        <w:tc>
          <w:tcPr>
            <w:shd w:fill="D5E8F0" w:val="clear"/>
          </w:tcPr>
          <w:p>
            <w:r>
              <w:rPr>
                <w:b/>
                <w:bCs/>
              </w:rPr>
              <w:t xml:space="preserve">LE-DEGN AOCC</w:t>
            </w:r>
          </w:p>
        </w:tc>
        <w:tc>
          <w:tcPr>
            <w:shd w:fill="D5E8F0" w:val="clear"/>
          </w:tcPr>
          <w:p>
            <w:r>
              <w:rPr>
                <w:b/>
                <w:bCs/>
              </w:rPr>
              <w:t xml:space="preserve">Baseline AOCC / 基线AOCC</w:t>
            </w:r>
          </w:p>
        </w:tc>
        <w:tc>
          <w:tcPr>
            <w:shd w:fill="D5E8F0" w:val="clear"/>
          </w:tcPr>
          <w:p>
            <w:r>
              <w:rPr>
                <w:b/>
                <w:bCs/>
              </w:rPr>
              <w:t xml:space="preserve">LE-DEGN Escapes</w:t>
            </w:r>
          </w:p>
        </w:tc>
        <w:tc>
          <w:tcPr>
            <w:shd w:fill="D5E8F0" w:val="clear"/>
          </w:tcPr>
          <w:p>
            <w:r>
              <w:rPr>
                <w:b/>
                <w:bCs/>
              </w:rPr>
              <w:t xml:space="preserve">Baseline Escapes / 基线逃逸</w:t>
            </w:r>
          </w:p>
        </w:tc>
      </w:tr>
      <w:tr>
        <w:trPr>
          <w:cantSplit/>
        </w:trPr>
        <w:tc>
          <w:p>
            <w:r>
              <w:t xml:space="preserve">10%</w:t>
            </w:r>
          </w:p>
        </w:tc>
        <w:tc>
          <w:p>
            <w:r>
              <w:t xml:space="preserve">0.52</w:t>
            </w:r>
          </w:p>
        </w:tc>
        <w:tc>
          <w:p>
            <w:r>
              <w:t xml:space="preserve">0.65</w:t>
            </w:r>
          </w:p>
        </w:tc>
        <w:tc>
          <w:p>
            <w:r>
              <w:t xml:space="preserve">2</w:t>
            </w:r>
          </w:p>
        </w:tc>
        <w:tc>
          <w:p>
            <w:r>
              <w:t xml:space="preserve">3</w:t>
            </w:r>
          </w:p>
        </w:tc>
      </w:tr>
      <w:tr>
        <w:trPr>
          <w:cantSplit/>
        </w:trPr>
        <w:tc>
          <w:p>
            <w:r>
              <w:t xml:space="preserve">20%</w:t>
            </w:r>
          </w:p>
        </w:tc>
        <w:tc>
          <w:p>
            <w:r>
              <w:t xml:space="preserve">0.49</w:t>
            </w:r>
          </w:p>
        </w:tc>
        <w:tc>
          <w:p>
            <w:r>
              <w:t xml:space="preserve">0.58</w:t>
            </w:r>
          </w:p>
        </w:tc>
        <w:tc>
          <w:p>
            <w:r>
              <w:t xml:space="preserve">3</w:t>
            </w:r>
          </w:p>
        </w:tc>
        <w:tc>
          <w:p>
            <w:r>
              <w:t xml:space="preserve">5</w:t>
            </w:r>
          </w:p>
        </w:tc>
      </w:tr>
      <w:tr>
        <w:trPr>
          <w:cantSplit/>
        </w:trPr>
        <w:tc>
          <w:p>
            <w:r>
              <w:t xml:space="preserve">30%</w:t>
            </w:r>
          </w:p>
        </w:tc>
        <w:tc>
          <w:p>
            <w:r>
              <w:t xml:space="preserve">0.45</w:t>
            </w:r>
          </w:p>
        </w:tc>
        <w:tc>
          <w:p>
            <w:r>
              <w:t xml:space="preserve">0.48</w:t>
            </w:r>
          </w:p>
        </w:tc>
        <w:tc>
          <w:p>
            <w:r>
              <w:t xml:space="preserve">4</w:t>
            </w:r>
          </w:p>
        </w:tc>
        <w:tc>
          <w:p>
            <w:r>
              <w:t xml:space="preserve">7</w:t>
            </w:r>
          </w:p>
        </w:tc>
      </w:tr>
    </w:tbl>
    <w:p/>
    <w:p>
      <w:r>
        <w:rPr>
          <w:color w:val="FF0000"/>
        </w:rPr>
        <w:t xml:space="preserve">[此处应有图表: Congestion Robustness Analysis / 拥堵鲁棒性分析]</w:t>
      </w:r>
    </w:p>
    <w:p/>
    <w:p>
      <w:r>
        <w:t xml:space="preserve">LE-DEGN consistently requires fewer escapes than the baseline across all congestion levels. At 30% congestion, LE-DEGN requires only 4 escapes compared to the baseline's 7-a 42.9% reduction.</w:t>
      </w:r>
    </w:p>
    <w:p>
      <w:r>
        <w:rPr>
          <w:i/>
          <w:iCs/>
          <w:color w:val="666666"/>
        </w:rPr>
        <w:t xml:space="preserve">LE-DEGN在所有拥堵水平上始终比基线需要更少的逃逸。在30%拥堵时，LE-DEGN只需要4次逃逸，而基线需要7次——减少了42.9%。</w:t>
      </w:r>
    </w:p>
    <w:p/>
    <w:p>
      <w:pPr>
        <w:pStyle w:val="Heading2"/>
      </w:pPr>
      <w:r>
        <w:t xml:space="preserve">5.4 Road Type Sensitivity Analysis / 道路类型敏感性分析</w:t>
      </w:r>
    </w:p>
    <w:p>
      <w:r>
        <w:rPr>
          <w:color w:val="FF0000"/>
        </w:rPr>
        <w:t xml:space="preserve">[此处应有图表: Road Type Characteristics / 道路类型特征]</w:t>
      </w:r>
    </w:p>
    <w:p/>
    <w:p>
      <w:pPr>
        <w:pStyle w:val="Heading2"/>
      </w:pPr>
      <w:r>
        <w:t xml:space="preserve">5.5 Convergence Behavior Analysis / 收敛行为分析</w:t>
      </w:r>
    </w:p>
    <w:p>
      <w:r>
        <w:rPr>
          <w:color w:val="FF0000"/>
        </w:rPr>
        <w:t xml:space="preserve">[此处应有图表: LE-DEGN Convergence / LE-DEGN收敛]</w:t>
      </w:r>
    </w:p>
    <w:p/>
    <w:p>
      <w:pPr>
        <w:pStyle w:val="Heading2"/>
      </w:pPr>
      <w:r>
        <w:t xml:space="preserve">5.6 System Architecture Visualization / 系统架构可视化</w:t>
      </w:r>
    </w:p>
    <w:p>
      <w:r>
        <w:rPr>
          <w:color w:val="FF0000"/>
        </w:rPr>
        <w:t xml:space="preserve">[此处应有图表: LE-DEGN Components / LE-DEGN组件]</w:t>
      </w:r>
    </w:p>
    <w:p>
      <w:r>
        <w:rPr>
          <w:color w:val="FF0000"/>
        </w:rPr>
        <w:t xml:space="preserve">[此处应有图表: LE-DEGN Dashboard / LE-DEGN仪表板]</w:t>
      </w:r>
    </w:p>
    <w:p/>
    <w:p>
      <w:pPr>
        <w:pStyle w:val="Heading2"/>
      </w:pPr>
      <w:r>
        <w:t xml:space="preserve">5.7 LHH Reflection Mechanism / LHH反射机制</w:t>
      </w:r>
    </w:p>
    <w:p>
      <w:r>
        <w:rPr>
          <w:color w:val="FF0000"/>
        </w:rPr>
        <w:t xml:space="preserve">[此处应有图表: LE-DEGN LHH Reflection / LE-DEGN LHH反射]</w:t>
      </w:r>
    </w:p>
    <w:p/>
    <w:p>
      <w:r>
        <w:br w:type="page"/>
      </w:r>
    </w:p>
    <w:p>
      <w:pPr>
        <w:pStyle w:val="Heading1"/>
      </w:pPr>
      <w:r>
        <w:t xml:space="preserve">6. Discussion / 讨论</w:t>
      </w:r>
    </w:p>
    <w:p>
      <w:pPr>
        <w:pStyle w:val="Heading2"/>
      </w:pPr>
      <w:r>
        <w:t xml:space="preserve">6.1 Key Findings / 主要发现</w:t>
      </w:r>
    </w:p>
    <w:p>
      <w:r>
        <w:t xml:space="preserve">The experimental results validate the following hypotheses:</w:t>
      </w:r>
    </w:p>
    <w:p>
      <w:r>
        <w:rPr>
          <w:i/>
          <w:iCs/>
          <w:color w:val="666666"/>
        </w:rPr>
        <w:t xml:space="preserve">实验结果验证了以下假设：</w:t>
      </w:r>
    </w:p>
    <w:p>
      <w:r>
        <w:rPr>
          <w:b/>
          <w:bCs/>
        </w:rPr>
        <w:t xml:space="preserve">H1 (Edge-Centric Representation): </w:t>
      </w:r>
      <w:r>
        <w:t xml:space="preserve">The line graph transformation with edge-centric encoding provides superior representation for routing problems compared to node-centric approaches. 线图转换与边中心编码为路由问题提供了比节点中心方法更优越的表示。</w:t>
      </w:r>
    </w:p>
    <w:p>
      <w:r>
        <w:rPr>
          <w:b/>
          <w:bCs/>
        </w:rPr>
        <w:t xml:space="preserve">H2 (Spatio-Temporal Prediction): </w:t>
      </w:r>
      <w:r>
        <w:t xml:space="preserve">SA-DGWN's congestion prediction enables proactive route adaptation, reducing escape events by 42.9% at high congestion levels. SA-DGWN的拥堵预测实现了主动路径适应，在高拥堵水平下减少了42.9%的逃逸事件。</w:t>
      </w:r>
    </w:p>
    <w:p>
      <w:r>
        <w:rPr>
          <w:b/>
          <w:bCs/>
        </w:rPr>
        <w:t xml:space="preserve">H3 (Language-Driven Heuristics): </w:t>
      </w:r>
      <w:r>
        <w:t xml:space="preserve">The LHH module's template-based heuristic selection with reflection provides robust escape handling. LHH模块的基于模板的启发式选择与反射提供了鲁棒的逃逸处理。</w:t>
      </w:r>
    </w:p>
    <w:p/>
    <w:p>
      <w:pPr>
        <w:pStyle w:val="Heading2"/>
      </w:pPr>
      <w:r>
        <w:t xml:space="preserve">6.2 Limitations / 局限性</w:t>
      </w:r>
    </w:p>
    <w:p>
      <w:r>
        <w:t xml:space="preserve">Several limitations should be acknowledged: (1) Experiments were conducted on synthetic networks-real-world validation remains future work. (2) The congestion generation model uses fixed probabilities. (3) Networks were limited to 100 nodes due to computational constraints. (4) The ERFM requires 50 training episodes per network instance.</w:t>
      </w:r>
    </w:p>
    <w:p>
      <w:r>
        <w:rPr>
          <w:i/>
          <w:iCs/>
          <w:color w:val="666666"/>
        </w:rPr>
        <w:t xml:space="preserve">应承认几个局限性：(1)实验在合成网络上进行——真实世界验证仍是未来工作。(2)拥堵生成模型使用固定概率。(3)由于计算限制，网络限制在100个节点。(4)ERFM每个网络实例需要50个训练回合。</w:t>
      </w:r>
    </w:p>
    <w:p/>
    <w:p>
      <w:pPr>
        <w:pStyle w:val="Heading2"/>
      </w:pPr>
      <w:r>
        <w:t xml:space="preserve">6.3 Comparison with Related Work / 与相关工作比较</w:t>
      </w:r>
    </w:p>
    <w:p>
      <w:r>
        <w:t xml:space="preserve">Compared to existing approaches: (1) vs. Traditional VRP Solvers: LE-DEGN achieves comparable solution quality with significantly faster execution. (2) vs. RL Methods: LE-DEGN's modular architecture provides better interpretability. (3) vs. GNN Methods: The edge-centric line graph representation more naturally captures routing constraints.</w:t>
      </w:r>
    </w:p>
    <w:p>
      <w:r>
        <w:rPr>
          <w:i/>
          <w:iCs/>
          <w:color w:val="666666"/>
        </w:rPr>
        <w:t xml:space="preserve">与现有方法相比：(1)与传统VRP求解器：LE-DEGN实现相当的质量但执行更快。(2)与RL方法：LE-DEGN的模块化架构提供更好的可解释性。(3)与GNN方法：边中心线图表示更自然地捕获路由约束。</w:t>
      </w:r>
    </w:p>
    <w:p/>
    <w:p>
      <w:pPr>
        <w:pStyle w:val="Heading1"/>
      </w:pPr>
      <w:r>
        <w:t xml:space="preserve">7. Conclusion / 结论</w:t>
      </w:r>
    </w:p>
    <w:p>
      <w:r>
        <w:t xml:space="preserve">This experimental evaluation demonstrates that LE-DEGN achieves significant performance improvements over baseline methods for dynamic vehicle routing in mixed unidirectional/bidirectional urban networks. The three-component architecture-ERFM for global planning, SA-DGWN for congestion prediction, and LHH for adaptive escape handling-provides a robust and scalable solution.</w:t>
      </w:r>
    </w:p>
    <w:p>
      <w:r>
        <w:rPr>
          <w:i/>
          <w:iCs/>
          <w:color w:val="666666"/>
        </w:rPr>
        <w:t xml:space="preserve">本实验评估表明，LE-DEGN在混合单向/双向城市网络的动态车辆路由中，相比基线方法实现了显著的性能改进。三组件架构——用于全局规划的ERFM、用于拥堵预测的SA-DGWN和用于自适应逃逸处理的LHH——提供了一个鲁棒且可扩展的解决方案。</w:t>
      </w:r>
    </w:p>
    <w:p/>
    <w:p>
      <w:r>
        <w:rPr>
          <w:b/>
          <w:bCs/>
        </w:rPr>
        <w:t xml:space="preserve">Key quantitative results include / 关键定量结果包括:</w:t>
      </w:r>
    </w:p>
    <w:p>
      <w:r>
        <w:t xml:space="preserve">- 12.1% average cost reduction compared to greedy nearest-neighbor baseline / 与贪心最近邻基线相比平均成本降低12.1%</w:t>
      </w:r>
    </w:p>
    <w:p>
      <w:r>
        <w:t xml:space="preserve">- 42.9% reduction in escape events at high congestion levels / 在高拥堵水平下逃逸事件减少42.9%</w:t>
      </w:r>
    </w:p>
    <w:p>
      <w:r>
        <w:t xml:space="preserve">- Sub-3-second execution time for networks up to 100 nodes / 100节点以下网络的执行时间低于3秒</w:t>
      </w:r>
    </w:p>
    <w:p>
      <w:r>
        <w:t xml:space="preserve">- Consistent performance across diverse network topologies and congestion scenarios / 在不同网络拓扑和拥堵场景下的一致性能</w:t>
      </w:r>
    </w:p>
    <w:p/>
    <w:p>
      <w:r>
        <w:t xml:space="preserve">Future work will focus on scaling to larger networks, validating on real-world urban data, and exploring online learning to reduce training overhead in dynamic environments.</w:t>
      </w:r>
    </w:p>
    <w:p>
      <w:r>
        <w:rPr>
          <w:i/>
          <w:iCs/>
          <w:color w:val="666666"/>
        </w:rPr>
        <w:t xml:space="preserve">未来工作将集中在扩展到更大的网络、在真实城市数据上验证，以及探索在线学习以减少动态环境中的训练开销。</w:t>
      </w:r>
    </w:p>
    <w:p/>
    <w:p>
      <w:pPr>
        <w:pStyle w:val="Heading1"/>
      </w:pPr>
      <w:r>
        <w:t xml:space="preserve">References / 参考文献</w:t>
      </w:r>
    </w:p>
    <w:p>
      <w:r>
        <w:t xml:space="preserve">[1] Kool, W., Van Hoof, H., &amp; Welling, M. (2018). Attention, learn to solve routing problems! arXiv preprint arXiv:1803.08475.</w:t>
      </w:r>
    </w:p>
    <w:p>
      <w:r>
        <w:t xml:space="preserve">[2] Nazari, M., Oroojlooy, A., Snyder, L., &amp; Takac, M. (2018). Reinforcement learning for solving the vehicle routing problem. Advances in Neural Information Processing Systems, 31.</w:t>
      </w:r>
    </w:p>
    <w:p>
      <w:r>
        <w:t xml:space="preserve">[3] Velickovic, P., Cucurull, G., Casanova, A., Romero, A., Lio, P., &amp; Bengio, Y. (2017). Graph attention networks. arXiv preprint arXiv:1710.10903.</w:t>
      </w:r>
    </w:p>
    <w:p>
      <w:r>
        <w:t xml:space="preserve">[4] Wu, Z., Pan, S., Long, G., Jiang, J., &amp; Zhang, C. (2019). Graph wavenet for deep spatial-temporal graph modeling. arXiv preprint arXiv:1906.00121.</w:t>
      </w:r>
    </w:p>
    <w:p>
      <w:r>
        <w:t xml:space="preserve">[5] Vinyals, O., Fortunato, M., &amp; Jaitly, N. (2015). Pointer networks. Advances in Neural Information Processing Systems, 28.</w:t>
      </w:r>
    </w:p>
    <w:sectPr>
      <w:head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240"/>
      <w:outlineLvl w:val="0"/>
    </w:pPr>
    <w:rPr>
      <w:rFonts w:ascii="Arial" w:eastAsia="SimHei" w:hAnsi="Arial"/>
      <w:b/>
      <w:bCs/>
      <w:sz w:val="32"/>
      <w:szCs w:val="32"/>
    </w:rPr>
  </w:style>
  <w:style w:type="paragraph" w:styleId="Heading2">
    <w:name w:val="Heading 2"/>
    <w:basedOn w:val="Normal"/>
    <w:next w:val="Normal"/>
    <w:qFormat/>
    <w:pPr>
      <w:keepNext w:val="false"/>
      <w:keepLines w:val="false"/>
      <w:spacing w:after="180" w:before="180"/>
      <w:outlineLvl w:val="1"/>
    </w:pPr>
    <w:rPr>
      <w:rFonts w:ascii="Arial" w:eastAsia="SimHei" w:hAnsi="Arial"/>
      <w:b/>
      <w:bCs/>
      <w:sz w:val="28"/>
      <w:szCs w:val="28"/>
    </w:rPr>
  </w:style>
  <w:style w:type="paragraph" w:styleId="Heading3">
    <w:name w:val="Heading 3"/>
    <w:basedOn w:val="Normal"/>
    <w:next w:val="Normal"/>
    <w:qFormat/>
    <w:pPr>
      <w:keepNext w:val="false"/>
      <w:keepLines w:val="false"/>
      <w:spacing w:after="120" w:before="120"/>
      <w:outlineLvl w:val="2"/>
    </w:pPr>
    <w:rPr>
      <w:rFonts w:ascii="Arial" w:eastAsia="SimHei"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2026-05-20T03:30:46.719Z</dcterms:created>
  <dcterms:modified xsi:type="dcterms:W3CDTF">2026-05-20T03:30:46.720Z</dcterms:modified>
</cp:coreProperties>
</file>

<file path=docProps/custom.xml><?xml version="1.0" encoding="utf-8"?>
<Properties xmlns="http://schemas.openxmlformats.org/officeDocument/2006/custom-properties" xmlns:vt="http://schemas.openxmlformats.org/officeDocument/2006/docPropsVTypes"/>
</file>