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color w:val="1E3A5F"/>
          <w:sz w:val="38"/>
          <w:szCs w:val="38"/>
        </w:rPr>
        <w:t xml:space="preserve">LE-DEGN 论文与代码优化工作计划</w:t>
      </w:r>
    </w:p>
    <w:p>
      <w:pPr>
        <w:spacing w:before="200"/>
        <w:jc w:val="center"/>
      </w:pPr>
      <w:r>
        <w:rPr>
          <w:rFonts w:ascii="Arial" w:eastAsia="Microsoft YaHei" w:hAnsi="Arial"/>
          <w:b/>
          <w:bCs/>
          <w:color w:val="0D9488"/>
          <w:sz w:val="24"/>
          <w:szCs w:val="24"/>
        </w:rPr>
        <w:t xml:space="preserve">一个月细致执行方案</w:t>
      </w:r>
    </w:p>
    <w:p>
      <w:pPr>
        <w:spacing w:before="200"/>
        <w:jc w:val="center"/>
      </w:pPr>
      <w:r>
        <w:rPr>
          <w:rFonts w:ascii="Arial" w:eastAsia="Microsoft YaHei" w:hAnsi="Arial"/>
          <w:color w:val="64748B"/>
          <w:sz w:val="20"/>
          <w:szCs w:val="20"/>
        </w:rPr>
        <w:t xml:space="preserve">—— 基于《控制与决策》与 TR-E 写作规律</w:t>
      </w:r>
    </w:p>
    <w:p>
      <w:pPr>
        <w:spacing w:before="300"/>
        <w:jc w:val="center"/>
      </w:pPr>
      <w:r>
        <w:rPr>
          <w:rFonts w:ascii="Arial" w:eastAsia="Microsoft YaHei" w:hAnsi="Arial"/>
          <w:color w:val="64748B"/>
          <w:sz w:val="20"/>
          <w:szCs w:val="20"/>
        </w:rPr>
        <w:t xml:space="preserve">计划周期：2026.6.30 – 2026.7.27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一、总体目标与原则</w:t>
      </w:r>
    </w:p>
    <w:p>
      <w:r>
        <w:rPr>
          <w:rFonts w:ascii="Arial" w:eastAsia="Microsoft YaHei" w:hAnsi="Arial"/>
          <w:b/>
          <w:bCs/>
        </w:rPr>
        <w:t xml:space="preserve">核心目标：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系统学习《控制与决策》和 TR-E 的论文写作规律，建立写作范式知识库。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全面修改 LE-DEGN 论文初稿，使其符合目标期刊的写作规范。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优化代码质量，补充实验数据，提升论文的实验可信度和可复现性。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工作原则：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“先学后写”：先精读目标期刊论文，掌握写作规律后再动笔修改。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“小步快跑”：每天完成明确的小任务，每周有可验证的交付物。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“实验优先”：代码改动必须有实验验证，确保结果可复现。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“迭代审阅”：重大修改后请导师或同门审阅。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二、四周计划概览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3000"/>
        <w:gridCol w:w="21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周次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主题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核心任务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第1周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6/30-7/6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阅读积累与写作学习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精读6篇目标期刊论文；提取句式模板库；重写中英文摘要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句式模板库 + 两套摘要初稿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第2周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7/7-7/13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论文正文修改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重写引言(4段)；重构文献综述(4层)；优化方法与实验描述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论文修改稿 v2.0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第3周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7/14-7/20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代码优化与实验补充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代码模块化拆分(6文件)；补充2个基线；生成高质量图表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重构代码 + 完整实验数据 + 图表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第4周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7/21-7/27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终稿润色与投稿准备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全文语言润色；格式排版；准备Cover Letter、Highlights、声明文件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论文终稿 v3.0 + 投稿材料包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三、第1周详细任务 (6/30 - 7/6)</w:t>
      </w:r>
    </w:p>
    <w:p>
      <w:r>
        <w:rPr>
          <w:rFonts w:ascii="Arial" w:eastAsia="Microsoft YaHei" w:hAnsi="Arial"/>
          <w:b/>
          <w:bCs/>
        </w:rPr>
        <w:t xml:space="preserve">目标：建立目标期刊的写作范式知识库，输出两套合规摘要。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300"/>
        <w:gridCol w:w="2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预期产出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6/30(二)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期刊调研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下载《控制与决策》和 TR-E 路径规划相关论文各3篇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论文文件夹6篇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7/1(三)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精读(1)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精读《控制与决策》论文2篇，分析摘要+引言结构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阅读笔记×2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7/2(四)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精读(2)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精读 TR-E 论文2篇，分析Abstract+Highlights写法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阅读笔记×2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7/3(五)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归纳总结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完成剩余2篇精读；整理两刊写作规律对比表 + 句式模板库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对比表 + 模板库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7/4(六)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摘要重写(1)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按《控制与决策》风格重写中文摘要(150~200字, 四要素, 禁用第一人称)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中文摘要初稿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7/5(日)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摘要重写(2)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按 TR-E 风格重写英文摘要(200~280词) + 5条Highlights(≤85字符)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英文摘要 + Highlights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7/6(一)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周总结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确认摘要质量；预读下周需修改的论文章节，标注问题点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周报 + 问题标注版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四、第2周详细任务 (7/7 - 7/13)</w:t>
      </w:r>
    </w:p>
    <w:p>
      <w:r>
        <w:rPr>
          <w:rFonts w:ascii="Arial" w:eastAsia="Microsoft YaHei" w:hAnsi="Arial"/>
          <w:b/>
          <w:bCs/>
        </w:rPr>
        <w:t xml:space="preserve">目标：完成引言、文献综述、方法、实验四大正文部分的修改。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300"/>
        <w:gridCol w:w="2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预期产出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7/7(二)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重写引言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压缩为4段：背景→挑战→方法→贡献；删减CityBlock历史冗余内容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引言修改稿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7/8(三)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重构文献(1)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确定四层组织: 经典MCPP→NCO→LLM路由→语言融合；重写2.1-2.2节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前半文献修改稿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7/9(四)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重构文献(2)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重写2.3-2.5节；确保每节有总结段点明不足，强化与LE-DEGN的关联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文献完整修改稿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7/10(五)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优化方法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为每个子模块写设计动机段落；确保公式符号定义清晰；检查公式编号连贯性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方法部分修改稿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7/11(六)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修改实验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每节按“结论→数字→解释”结构重组；确保每个Table/Figure有数据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实验部分修改稿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7/12(日)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内部审阅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通读全文修改稿，请导师/同门审阅，记录修改意见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审阅意见清单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7/13(一)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修订与归档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根据审阅意见修订；归档论文修改版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论文修改稿 v2.0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引言修改具体要求</w:t>
      </w:r>
    </w:p>
    <w:p>
      <w:r>
        <w:rPr>
          <w:rFonts w:ascii="Arial" w:eastAsia="Microsoft YaHei" w:hAnsi="Arial"/>
        </w:rPr>
        <w:t xml:space="preserve">当前问题：从2001年Google Street View写起，铺垫过长，未快速聚焦研究问题。修改方案：压缩为3~4段，每段3~5句：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第1段</w:t>
      </w:r>
      <w:r>
        <w:rPr>
          <w:rFonts w:ascii="Arial" w:eastAsia="Microsoft YaHei" w:hAnsi="Arial"/>
        </w:rPr>
        <w:t xml:space="preserve">：街景采集车路径规划的重要性 + 单双向混合路网的特殊挑战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第2段</w:t>
      </w:r>
      <w:r>
        <w:rPr>
          <w:rFonts w:ascii="Arial" w:eastAsia="Microsoft YaHei" w:hAnsi="Arial"/>
        </w:rPr>
        <w:t xml:space="preserve">：现有方法的不足（经典MCPP缺动态自适应、NCO语义盲、LLM空间幻觉）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第3段</w:t>
      </w:r>
      <w:r>
        <w:rPr>
          <w:rFonts w:ascii="Arial" w:eastAsia="Microsoft YaHei" w:hAnsi="Arial"/>
        </w:rPr>
        <w:t xml:space="preserve">：本文提出 LE-DEGN + 三模块如何解决上述问题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/>
          <w:bCs/>
        </w:rPr>
        <w:t xml:space="preserve">第4段</w:t>
      </w:r>
      <w:r>
        <w:rPr>
          <w:rFonts w:ascii="Arial" w:eastAsia="Microsoft YaHei" w:hAnsi="Arial"/>
        </w:rPr>
        <w:t xml:space="preserve">：主要贡献（1, 2, 3）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五、第3周详细任务 (7/14 - 7/20)</w:t>
      </w:r>
    </w:p>
    <w:p>
      <w:r>
        <w:rPr>
          <w:rFonts w:ascii="Arial" w:eastAsia="Microsoft YaHei" w:hAnsi="Arial"/>
          <w:b/>
          <w:bCs/>
        </w:rPr>
        <w:t xml:space="preserve">目标：代码重构、补充实验、生成高质量图表。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300"/>
        <w:gridCol w:w="2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预期产出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7/14(二)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代码重构(1)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拆分单文件(~2000行)为6模块: env.py, models.py, training.py, pipeline.py, baselines.py, utils.py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模块化代码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7/15(三)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代码重构(2)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统一命名规范(snake_case/PascalCase)；添加中英文注释和docstring；编写README.md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注释完善的代码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7/16(四)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补充基线(1)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实现纯贪心最近邻 + 经典2-opt局部搜索基线；运行实验并记录数据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新基线实验数据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7/17(五)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补充基线(2)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补充不同拥堵概率条件下实验数据；替换论文中所有placeholder图片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完整实验数据集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7/18(六)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生成图表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统一matplotlib风格，生成所有实验图表，包含误差棒/显著性标注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高质量图表文件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7/19(日)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可复现验证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从头运行全部实验确保结果一致；整理requirements.txt和运行指令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可复现实验脚本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7/20(一)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数据同步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将新实验数据更新到论文，确保论文中所有数字与代码输出一致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数据同步后的论文稿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代码重构目标模块</w:t>
      </w:r>
    </w:p>
    <w:p>
      <w:r>
        <w:rPr>
          <w:rFonts w:ascii="Consolas" w:eastAsia="Microsoft YaHei"/>
        </w:rPr>
        <w:t xml:space="preserve">env.py</w:t>
      </w:r>
      <w:r>
        <w:rPr>
          <w:rFonts w:ascii="Arial" w:eastAsia="Microsoft YaHei" w:hAnsi="Arial"/>
        </w:rPr>
        <w:t xml:space="preserve"> — RoadNetworkEnv类、路网生成、连通性修复、线图转换</w:t>
      </w:r>
    </w:p>
    <w:p>
      <w:r>
        <w:rPr>
          <w:rFonts w:ascii="Consolas" w:eastAsia="Microsoft YaHei"/>
        </w:rPr>
        <w:t xml:space="preserve">models.py</w:t>
      </w:r>
      <w:r>
        <w:rPr>
          <w:rFonts w:ascii="Arial" w:eastAsia="Microsoft YaHei" w:hAnsi="Arial"/>
        </w:rPr>
        <w:t xml:space="preserve"> — ERFM编码器/解码器、SA-DGWN、LHH模块</w:t>
      </w:r>
    </w:p>
    <w:p>
      <w:r>
        <w:rPr>
          <w:rFonts w:ascii="Consolas" w:eastAsia="Microsoft YaHei"/>
        </w:rPr>
        <w:t xml:space="preserve">training.py</w:t>
      </w:r>
      <w:r>
        <w:rPr>
          <w:rFonts w:ascii="Arial" w:eastAsia="Microsoft YaHei" w:hAnsi="Arial"/>
        </w:rPr>
        <w:t xml:space="preserve"> — REINFORCE训练、SA-DGWN训练、超参数</w:t>
      </w:r>
    </w:p>
    <w:p>
      <w:r>
        <w:rPr>
          <w:rFonts w:ascii="Consolas" w:eastAsia="Microsoft YaHei"/>
        </w:rPr>
        <w:t xml:space="preserve">pipeline.py</w:t>
      </w:r>
      <w:r>
        <w:rPr>
          <w:rFonts w:ascii="Arial" w:eastAsia="Microsoft YaHei" w:hAnsi="Arial"/>
        </w:rPr>
        <w:t xml:space="preserve"> — LEDEGNSystem三阶段执行管线</w:t>
      </w:r>
    </w:p>
    <w:p>
      <w:r>
        <w:rPr>
          <w:rFonts w:ascii="Consolas" w:eastAsia="Microsoft YaHei"/>
        </w:rPr>
        <w:t xml:space="preserve">baselines.py</w:t>
      </w:r>
      <w:r>
        <w:rPr>
          <w:rFonts w:ascii="Arial" w:eastAsia="Microsoft YaHei" w:hAnsi="Arial"/>
        </w:rPr>
        <w:t xml:space="preserve"> — 所有基线方法实现</w:t>
      </w:r>
    </w:p>
    <w:p>
      <w:r>
        <w:rPr>
          <w:rFonts w:ascii="Consolas" w:eastAsia="Microsoft YaHei"/>
        </w:rPr>
        <w:t xml:space="preserve">utils.py</w:t>
      </w:r>
      <w:r>
        <w:rPr>
          <w:rFonts w:ascii="Arial" w:eastAsia="Microsoft YaHei" w:hAnsi="Arial"/>
        </w:rPr>
        <w:t xml:space="preserve"> — PerformanceTracker、AOCC、可视化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六、第4周详细任务 (7/21 - 7/27)</w:t>
      </w:r>
    </w:p>
    <w:p>
      <w:r>
        <w:rPr>
          <w:rFonts w:ascii="Arial" w:eastAsia="Microsoft YaHei" w:hAnsi="Arial"/>
          <w:b/>
          <w:bCs/>
        </w:rPr>
        <w:t xml:space="preserve">目标：完成全文润色、格式排版、投稿材料准备。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300"/>
        <w:gridCol w:w="2026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具体内容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预期产出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7/21(二)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语言润色(1)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检查中文摘要是否符合《控制与决策》规范；检查英文摘要语法；检查全文术语一致性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语言润色修改稿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7/22(三)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语言润色(2)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检查并替换第一人称表述；确保句式符合期刊风格；检查参考文献格式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语言润色终稿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7/23(四)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格式排版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按目标期刊模板调整格式；设置页边距、字体、行距、图表编号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格式排版稿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7/24(五)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投稿材料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编写Cover Letter；整理Highlights；准备作者声明、利益冲突声明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投稿材料包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7/25(六)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内部审阅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请导师/同门通读全文，记录所有修改意见；确认创新点表述和实验数据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审阅意见清单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7/26(日)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最终修订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根据审阅意见修订；确保所有修改已完成；导出PDF版本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论文终稿 v3.0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7/27(一)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归档备份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所有文件归档；确保代码仓库完整；备份所有材料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归档包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七、关键里程碑与检查清单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026"/>
        <w:gridCol w:w="2000"/>
        <w:gridCol w:w="8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截止日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写作规律学习报告 + 两套摘要初稿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导师确认方向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论文正文修改稿 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引言/文献/方法/实验均修改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重构代码 + 完整实验数据 + 图表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代码模块化 + 实验可复现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7/27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论文终稿 v3.0 + 投稿材料 + 代码仓库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全部归档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八、风险预案与应对策略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700"/>
        <w:gridCol w:w="42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概率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实验结果不可复现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每日备份代码；固定随机种子；使用requirements.txt锁定依赖版本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修改后结果变差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保留原始代码备份；每次修改前记录结果；结果变差则回滚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论文修改方向偏离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每周末请导师确认方向；参考已发表论文结构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时间不足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按优先级: 摘要 &gt; 引言 &gt; 实验 &gt; 代码重构 &gt; 润色；必要时润色延迟一周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新基线实现困难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参考OR-Tools、ACO library等开源实现；无法实现则用更多消融实验替代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九、投稿材料清单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匿名正文 (Anonymized Manuscript) — TR-E双盲要求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标题页 (Title Page) — 含作者信息、通信作者、ORCID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Cover Letter — 简述创新点和与期刊的匹配度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Highlights — 3~5条，每条≤85字符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作者声明 (Author Statement)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利益冲突声明 (Declaration of Competing Interest)</w:t>
      </w:r>
    </w:p>
    <w:p>
      <w:pPr>
        <w:spacing w:before="320"/>
      </w:pP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十、每日作息建议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0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安排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08:00-08:30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复盘 + 计划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回顾昨天进度，确定今天任务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08:30-11:30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深度工作时间(1)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论文精读/修改/代码重构，关闭手机通知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13:30-17:30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深度工作时间(2)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继续上午未完成任务，或开始新任务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19:00-20:00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总结与备份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记录今天进度，备份代码和文档，确定明天计划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00"/>
      <w:outlineLvl w:val="0"/>
    </w:pPr>
    <w:rPr>
      <w:rFonts w:ascii="Arial" w:eastAsia="Microsoft YaHei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40"/>
      <w:outlineLvl w:val="1"/>
    </w:pPr>
    <w:rPr>
      <w:rFonts w:ascii="Arial" w:eastAsia="Microsoft YaHei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2026-06-30T09:30:46.686Z</dcterms:created>
  <dcterms:modified xsi:type="dcterms:W3CDTF">2026-06-30T09:30:46.686Z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