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eastAsia="SimHei" w:hAnsi="Times New Roman"/>
          <w:b/>
          <w:bCs/>
          <w:sz w:val="30"/>
          <w:szCs w:val="30"/>
        </w:rPr>
        <w:t xml:space="preserve">面向《控制与决策》的中文摘要</w:t>
      </w:r>
    </w:p>
    <w:p>
      <w:pPr>
        <w:spacing w:after="120" w:before="200"/>
      </w:pPr>
      <w:r>
        <w:rPr>
          <w:rFonts w:ascii="Times New Roman" w:eastAsia="SimSun" w:hAnsi="Times New Roman"/>
          <w:i/>
          <w:iCs/>
        </w:rPr>
        <w:t xml:space="preserve">说明：《控制与决策》（东北大学主办，EI收录）要求摘要体现目的-方法-结果-结论四要素，150～200字，不使用第一人称（"本文""我们"），以客观陈述为主。</w:t>
      </w:r>
    </w:p>
    <w:p>
      <w:pPr>
        <w:spacing w:after="40" w:before="120"/>
      </w:pPr>
      <w:r>
        <w:rPr>
          <w:rFonts w:ascii="Times New Roman" w:eastAsia="SimHei" w:hAnsi="Times New Roman"/>
          <w:b/>
          <w:bCs/>
        </w:rPr>
        <w:t xml:space="preserve">题目：</w:t>
      </w:r>
    </w:p>
    <w:p>
      <w:pPr>
        <w:spacing w:after="80"/>
        <w:jc w:val="center"/>
      </w:pPr>
      <w:r>
        <w:rPr>
          <w:rFonts w:ascii="Times New Roman" w:eastAsia="SimHei" w:hAnsi="Times New Roman"/>
          <w:b/>
          <w:bCs/>
        </w:rPr>
        <w:t xml:space="preserve">语言赋能的动态边中心图网络及其在混合城市车辆路径优化中的应用</w:t>
      </w:r>
    </w:p>
    <w:p>
      <w:pPr>
        <w:spacing w:after="40" w:before="120"/>
      </w:pPr>
      <w:r>
        <w:rPr>
          <w:rFonts w:ascii="Times New Roman" w:eastAsia="SimHei" w:hAnsi="Times New Roman"/>
          <w:b/>
          <w:bCs/>
        </w:rPr>
        <w:t xml:space="preserve">摘  要</w:t>
      </w:r>
    </w:p>
    <w:p>
      <w:pPr>
        <w:spacing w:after="80" w:before="80"/>
        <w:ind w:firstLine="480"/>
      </w:pPr>
      <w:r>
        <w:rPr>
          <w:rFonts w:ascii="Times New Roman" w:eastAsia="SimSun" w:hAnsi="Times New Roman"/>
        </w:rPr>
        <w:t xml:space="preserve">针对混合单向/双向城市路网中街景采集车路径优化面临的动态拥堵与运动学约束挑战，提出一种语言赋能动态边中心图网络(LE-DEGN)。</w:t>
      </w:r>
      <w:r>
        <w:rPr>
          <w:rFonts w:ascii="Times New Roman" w:eastAsia="SimSun" w:hAnsi="Times New Roman"/>
        </w:rPr>
        <w:t xml:space="preserve">首先，通过线图转换将原始路图重构为边中心表示，建立基于惩罚偏置多头自注意力的边中心路由基础模型(ERFM)，编码13维边特征为优化路由策略；</w:t>
      </w:r>
      <w:r>
        <w:rPr>
          <w:rFonts w:ascii="Times New Roman" w:eastAsia="SimSun" w:hAnsi="Times New Roman"/>
        </w:rPr>
        <w:t xml:space="preserve">然后，设计时空注意力动态图波网络(SA-DGWN)，利用扩张因果卷积和图卷积主动预测拥堵传播，实现拥堵影响前的预防性重规划；</w:t>
      </w:r>
      <w:r>
        <w:rPr>
          <w:rFonts w:ascii="Times New Roman" w:eastAsia="SimSun" w:hAnsi="Times New Roman"/>
        </w:rPr>
        <w:t xml:space="preserve">接着，构建语言驱动启发式中心(LHH)，以生成-评分-执行-自反思(GSES)循环实现五类启发式逃逸策略的自适应选择，并通过滚动性能窗口持续更新启发式权重；</w:t>
      </w:r>
      <w:r>
        <w:rPr>
          <w:rFonts w:ascii="Times New Roman" w:eastAsia="SimSun" w:hAnsi="Times New Roman"/>
        </w:rPr>
        <w:t xml:space="preserve">最后，基于REINFORCE策略梯度进行温度退火训练，经三阶段集成管线（全局规划、动态重规划与局部2-opt优化）执行。</w:t>
      </w:r>
      <w:r>
        <w:rPr>
          <w:rFonts w:ascii="Times New Roman" w:eastAsia="SimSun" w:hAnsi="Times New Roman"/>
        </w:rPr>
        <w:t xml:space="preserve">40至100节点合成城市路网实验表明，所提方法较贪心最近邻基线平均降低路径成本12.1%，80节点网络峰值改进达16.3%；</w:t>
      </w:r>
      <w:r>
        <w:rPr>
          <w:rFonts w:ascii="Times New Roman" w:eastAsia="SimSun" w:hAnsi="Times New Roman"/>
        </w:rPr>
        <w:t xml:space="preserve">消融实验验证了三模块的协同贡献，可扩展性分析确认执行时间呈近线性缩放（0.82～2.49 s）。</w:t>
      </w:r>
      <w:r>
        <w:rPr>
          <w:rFonts w:ascii="Times New Roman" w:eastAsia="SimSun" w:hAnsi="Times New Roman"/>
        </w:rPr>
        <w:t xml:space="preserve">研究结果为动态城市路由提供了兼顾学习表征、预测感知与自适应决策的有效实用方案。</w:t>
      </w:r>
    </w:p>
    <w:p>
      <w:pPr>
        <w:spacing w:after="80" w:before="80"/>
      </w:pPr>
      <w:r>
        <w:rPr>
          <w:rFonts w:ascii="Times New Roman" w:eastAsia="SimHei" w:hAnsi="Times New Roman"/>
          <w:b/>
          <w:bCs/>
        </w:rPr>
        <w:t xml:space="preserve">关键词：</w:t>
      </w:r>
      <w:r>
        <w:rPr>
          <w:rFonts w:ascii="Times New Roman" w:eastAsia="SimSun" w:hAnsi="Times New Roman"/>
        </w:rPr>
        <w:t xml:space="preserve">混合中国邮路问题；图神经网络；动态路径优化；时空交通预测；语言驱动启发式；线图转换</w:t>
      </w:r>
    </w:p>
    <w:p>
      <w:pPr>
        <w:spacing w:after="80" w:before="80"/>
      </w:pPr>
      <w:r>
        <w:rPr>
          <w:rFonts w:ascii="Times New Roman" w:eastAsia="SimHei" w:hAnsi="Times New Roman"/>
          <w:b/>
          <w:bCs/>
        </w:rPr>
        <w:t xml:space="preserve">中图分类号：</w:t>
      </w:r>
      <w:r>
        <w:rPr>
          <w:rFonts w:ascii="Times New Roman" w:eastAsia="SimSun" w:hAnsi="Times New Roman"/>
        </w:rPr>
        <w:t xml:space="preserve">TP183; U491</w:t>
      </w:r>
    </w:p>
    <w:p>
      <w:pPr>
        <w:spacing w:after="40" w:before="240"/>
      </w:pPr>
      <w:r>
        <w:rPr>
          <w:rFonts w:ascii="Times New Roman" w:hAnsi="Times New Roman"/>
          <w:b/>
          <w:bCs/>
          <w:sz w:val="22"/>
          <w:szCs w:val="22"/>
        </w:rPr>
        <w:t xml:space="preserve">Title:</w:t>
      </w:r>
    </w:p>
    <w:p>
      <w:pPr>
        <w:spacing w:after="80"/>
        <w:jc w:val="center"/>
      </w:pPr>
      <w:r>
        <w:rPr>
          <w:rFonts w:ascii="Times New Roman" w:hAnsi="Times New Roman"/>
          <w:b/>
          <w:bCs/>
          <w:sz w:val="22"/>
          <w:szCs w:val="22"/>
        </w:rPr>
        <w:t xml:space="preserve">Language-Empowered Dynamic Edge-Centric Graph Network for Mixed Urban Vehicle Routing Optimization</w:t>
      </w:r>
    </w:p>
    <w:p>
      <w:pPr>
        <w:spacing w:after="40" w:before="120"/>
      </w:pPr>
      <w:r>
        <w:rPr>
          <w:rFonts w:ascii="Times New Roman" w:hAnsi="Times New Roman"/>
          <w:b/>
          <w:bCs/>
          <w:sz w:val="22"/>
          <w:szCs w:val="22"/>
        </w:rPr>
        <w:t xml:space="preserve">Abstract</w:t>
      </w:r>
    </w:p>
    <w:p>
      <w:pPr>
        <w:spacing w:after="80" w:before="80"/>
      </w:pPr>
      <w:r>
        <w:rPr>
          <w:rFonts w:ascii="Times New Roman" w:hAnsi="Times New Roman"/>
          <w:sz w:val="22"/>
          <w:szCs w:val="22"/>
        </w:rPr>
        <w:t xml:space="preserve">To address the challenges of dynamic congestion and kinematic constraints in street-view collection vehicle routing over mixed one-way/two-way urban road networks, a Language-Empowered Dynamic Edge-centric Graph Network (LE-DEGN) is proposed. </w:t>
      </w:r>
      <w:r>
        <w:rPr>
          <w:rFonts w:ascii="Times New Roman" w:hAnsi="Times New Roman"/>
          <w:sz w:val="22"/>
          <w:szCs w:val="22"/>
        </w:rPr>
        <w:t xml:space="preserve">First, the original road graph is transformed into a line graph, and an Edge-centric Routing Foundation Model (ERFM) with penalty-biased multi-head self-attention is constructed to encode 13-dimensional edge features into optimized routing policies. </w:t>
      </w:r>
      <w:r>
        <w:rPr>
          <w:rFonts w:ascii="Times New Roman" w:hAnsi="Times New Roman"/>
          <w:sz w:val="22"/>
          <w:szCs w:val="22"/>
        </w:rPr>
        <w:t xml:space="preserve">Then, a Spatial-Temporal Attention Dynamic Graph Wave Network (SA-DGWN) is designed to proactively predict congestion propagation via dilated causal convolutions and graph convolutions. </w:t>
      </w:r>
      <w:r>
        <w:rPr>
          <w:rFonts w:ascii="Times New Roman" w:hAnsi="Times New Roman"/>
          <w:sz w:val="22"/>
          <w:szCs w:val="22"/>
        </w:rPr>
        <w:t xml:space="preserve">Subsequently, a Language-Driven Heuristic Hub (LHH) is developed to adaptively select among five heuristic escape strategies through a Generate-Score-Execute-Self-Reflect (GSES) cycle. </w:t>
      </w:r>
      <w:r>
        <w:rPr>
          <w:rFonts w:ascii="Times New Roman" w:hAnsi="Times New Roman"/>
          <w:sz w:val="22"/>
          <w:szCs w:val="22"/>
        </w:rPr>
        <w:t xml:space="preserve">Finally, the model is trained via REINFORCE policy gradient with temperature annealing and executed through a three-phase pipeline. </w:t>
      </w:r>
      <w:r>
        <w:rPr>
          <w:rFonts w:ascii="Times New Roman" w:hAnsi="Times New Roman"/>
          <w:sz w:val="22"/>
          <w:szCs w:val="22"/>
        </w:rPr>
        <w:t xml:space="preserve">Experiments on synthetic urban networks with 40 to 100 nodes demonstrate an average total cost reduction of 12.1% compared to a greedy nearest-neighbor baseline, with a peak improvement of 16.3% at 80 nodes. </w:t>
      </w:r>
      <w:r>
        <w:rPr>
          <w:rFonts w:ascii="Times New Roman" w:hAnsi="Times New Roman"/>
          <w:sz w:val="22"/>
          <w:szCs w:val="22"/>
        </w:rPr>
        <w:t xml:space="preserve">Ablation studies confirm synergistic module contributions, and near-linear execution time scaling (0.82-2.49 s) is verified. </w:t>
      </w:r>
      <w:r>
        <w:rPr>
          <w:rFonts w:ascii="Times New Roman" w:hAnsi="Times New Roman"/>
          <w:sz w:val="22"/>
          <w:szCs w:val="22"/>
        </w:rPr>
        <w:t xml:space="preserve">The results establish LE-DEGN as an effective and practical solution integrating learned representations, predictive awareness, and adaptive decision-making for dynamic urban routing.</w:t>
      </w:r>
    </w:p>
    <w:p>
      <w:pPr>
        <w:spacing w:after="80" w:before="80"/>
      </w:pPr>
      <w:r>
        <w:rPr>
          <w:rFonts w:ascii="Times New Roman" w:hAnsi="Times New Roman"/>
          <w:b/>
          <w:bCs/>
          <w:sz w:val="22"/>
          <w:szCs w:val="22"/>
        </w:rPr>
        <w:t xml:space="preserve">Keywords: </w:t>
      </w:r>
      <w:r>
        <w:rPr>
          <w:rFonts w:ascii="Times New Roman" w:hAnsi="Times New Roman"/>
          <w:sz w:val="22"/>
          <w:szCs w:val="22"/>
        </w:rPr>
        <w:t xml:space="preserve">Mixed Chinese Postman Problem; graph neural network; dynamic route optimization; spatiotemporal traffic prediction; language-driven heuristic; line graph transformation</w:t>
      </w:r>
    </w:p>
    <w:p>
      <w:r>
        <w:br/>
        <w:t xml:space="preserve"/>
      </w:r>
    </w:p>
    <w:p>
      <w:pPr>
        <w:sectPr>
          <w:headerReference w:type="default" r:id="rId8"/>
          <w:pgSz w:w="11906" w:h="16838" w:orient="portrait"/>
          <w:pgMar w:top="1440" w:right="1440" w:bottom="1440" w:left="1440" w:header="708" w:footer="708" w:gutter="0"/>
          <w:pgNumType/>
          <w:docGrid w:linePitch="360"/>
        </w:sectPr>
      </w:pPr>
    </w:p>
    <w:p>
      <w:pPr>
        <w:pStyle w:val="Heading1"/>
      </w:pPr>
      <w:r>
        <w:rPr>
          <w:rFonts w:ascii="Times New Roman" w:eastAsia="SimHei" w:hAnsi="Times New Roman"/>
          <w:b/>
          <w:bCs/>
          <w:sz w:val="30"/>
          <w:szCs w:val="30"/>
        </w:rPr>
        <w:t xml:space="preserve">面向 Transportation Research Part E 的英文摘要</w:t>
      </w:r>
    </w:p>
    <w:p>
      <w:pPr>
        <w:spacing w:after="120" w:before="200"/>
      </w:pPr>
      <w:r>
        <w:rPr>
          <w:rFonts w:ascii="Times New Roman" w:eastAsia="SimSun" w:hAnsi="Times New Roman"/>
          <w:i/>
          <w:iCs/>
        </w:rPr>
        <w:t xml:space="preserve">说明：TR-E是Elsevier旗下SCI一区期刊，影响因子约10.6。摘要采用单段非结构化形式，隐含problem-methodology-findings-contributions逻辑，约200～280词。需同时提供Highlights（3-5条，每条≤85字符），并注意双盲匿名要求（摘要中不出现作者信息）。</w:t>
      </w:r>
    </w:p>
    <w:p>
      <w:pPr>
        <w:spacing w:after="40" w:before="200"/>
      </w:pPr>
      <w:r>
        <w:rPr>
          <w:rFonts w:ascii="Times New Roman" w:hAnsi="Times New Roman"/>
          <w:b/>
          <w:bCs/>
          <w:sz w:val="22"/>
          <w:szCs w:val="22"/>
        </w:rPr>
        <w:t xml:space="preserve">Title:</w:t>
      </w:r>
    </w:p>
    <w:p>
      <w:pPr>
        <w:spacing w:after="120"/>
        <w:jc w:val="center"/>
      </w:pPr>
      <w:r>
        <w:rPr>
          <w:rFonts w:ascii="Times New Roman" w:hAnsi="Times New Roman"/>
          <w:b/>
          <w:bCs/>
          <w:sz w:val="22"/>
          <w:szCs w:val="22"/>
        </w:rPr>
        <w:t xml:space="preserve">LE-DEGN: A Language-Empowered Dynamic Edge-Centric Graph Network for Street-View Vehicle Routing in Mixed Urban Road Networks</w:t>
      </w:r>
    </w:p>
    <w:p>
      <w:pPr>
        <w:spacing w:after="40" w:before="120"/>
      </w:pPr>
      <w:r>
        <w:rPr>
          <w:rFonts w:ascii="Times New Roman" w:hAnsi="Times New Roman"/>
          <w:b/>
          <w:bCs/>
          <w:sz w:val="22"/>
          <w:szCs w:val="22"/>
        </w:rPr>
        <w:t xml:space="preserve">Abstract</w:t>
      </w:r>
    </w:p>
    <w:p>
      <w:pPr>
        <w:spacing w:after="120" w:before="80"/>
        <w:jc w:val="both"/>
      </w:pPr>
      <w:r>
        <w:rPr>
          <w:rFonts w:ascii="Times New Roman" w:hAnsi="Times New Roman"/>
          <w:sz w:val="22"/>
          <w:szCs w:val="22"/>
        </w:rPr>
        <w:t xml:space="preserve">Street-view collection vehicle routing in mixed one-way/two-way urban road networks presents a significant combinatorial optimization challenge due to dynamic congestion, heterogeneous road types, and complex kinematic constraints. </w:t>
      </w:r>
      <w:r>
        <w:rPr>
          <w:rFonts w:ascii="Times New Roman" w:hAnsi="Times New Roman"/>
          <w:sz w:val="22"/>
          <w:szCs w:val="22"/>
        </w:rPr>
        <w:t xml:space="preserve">This paper proposes a Language-Empowered Dynamic Edge-centric Graph Network (LE-DEGN), a novel three-module architecture that integrates learned edge representations, spatiotemporal congestion prediction, and adaptive heuristic selection to solve the Mixed Chinese Postman Problem (MCPP). </w:t>
      </w:r>
      <w:r>
        <w:rPr>
          <w:rFonts w:ascii="Times New Roman" w:hAnsi="Times New Roman"/>
          <w:sz w:val="22"/>
          <w:szCs w:val="22"/>
        </w:rPr>
        <w:t xml:space="preserve">The system first transforms the original road graph into a line graph, enabling an Edge-centric Routing Foundation Model (ERFM) with penalty-biased multi-head self-attention to encode 13-dimensional edge features into optimized routing policies. </w:t>
      </w:r>
      <w:r>
        <w:rPr>
          <w:rFonts w:ascii="Times New Roman" w:hAnsi="Times New Roman"/>
          <w:sz w:val="22"/>
          <w:szCs w:val="22"/>
        </w:rPr>
        <w:t xml:space="preserve">A Spatial-Temporal Attention Dynamic Graph Wave Network (SA-DGWN) then employs dilated causal convolutions and graph convolutions to proactively predict congestion propagation before it disrupts planned routes, shifting the system from reactive to anticipatory re-routing. </w:t>
      </w:r>
      <w:r>
        <w:rPr>
          <w:rFonts w:ascii="Times New Roman" w:hAnsi="Times New Roman"/>
          <w:sz w:val="22"/>
          <w:szCs w:val="22"/>
        </w:rPr>
        <w:t xml:space="preserve">A Language-Driven Heuristic Hub (LHH) adaptively selects among five heuristic escape strategies—including greedy widest-road, minimum-penalty escape, maximum-connectivity escape, adaptive A* search, and multi-hop greedy—through a Generate-Score-Execute-Self-Reflect (GSES) cycle, with a reflection mechanism that continuously updates heuristic weights based on a sliding window of recent performance. </w:t>
      </w:r>
      <w:r>
        <w:rPr>
          <w:rFonts w:ascii="Times New Roman" w:hAnsi="Times New Roman"/>
          <w:sz w:val="22"/>
          <w:szCs w:val="22"/>
        </w:rPr>
        <w:t xml:space="preserve">The model is trained via REINFORCE policy gradient with temperature annealing (1.5 to 0.2) and executed through a three-phase pipeline comprising global planning, dynamic re-routing with congestion escape, and bounded 2-opt local refinement. </w:t>
      </w:r>
      <w:r>
        <w:rPr>
          <w:rFonts w:ascii="Times New Roman" w:hAnsi="Times New Roman"/>
          <w:sz w:val="22"/>
          <w:szCs w:val="22"/>
        </w:rPr>
        <w:t xml:space="preserve">Extensive experiments on synthetic urban networks with 40 to 100 nodes demonstrate that LE-DEGN achieves an average total cost reduction of 12.1% compared to a greedy nearest-neighbor baseline enhanced with DHAN-style congestion handling, with a peak improvement of 16.3% on 80-node networks. </w:t>
      </w:r>
      <w:r>
        <w:rPr>
          <w:rFonts w:ascii="Times New Roman" w:hAnsi="Times New Roman"/>
          <w:sz w:val="22"/>
          <w:szCs w:val="22"/>
        </w:rPr>
        <w:t xml:space="preserve">The Area Over the Convergence Curve (AOCC) metric confirms faster convergence to high-quality solutions, with the performance gap widening from 22.9% at 40 nodes to 33.9% at 100 nodes. </w:t>
      </w:r>
      <w:r>
        <w:rPr>
          <w:rFonts w:ascii="Times New Roman" w:hAnsi="Times New Roman"/>
          <w:sz w:val="22"/>
          <w:szCs w:val="22"/>
        </w:rPr>
        <w:t xml:space="preserve">Ablation studies reveal that the full three-module system (AOCC = 0.539) significantly outperforms ERFM alone (AOCC = 0.000) and ERFM+LHH (AOCC = 0.299), confirming synergistic contributions. </w:t>
      </w:r>
      <w:r>
        <w:rPr>
          <w:rFonts w:ascii="Times New Roman" w:hAnsi="Times New Roman"/>
          <w:sz w:val="22"/>
          <w:szCs w:val="22"/>
        </w:rPr>
        <w:t xml:space="preserve">Scalability analysis validates near-linear execution time scaling (0.82–2.49 s, R² ≈ 0.98), and congestion robustness tests demonstrate that LE-DEGN requires 42.9% fewer escape operations than the baseline under severe (30%) congestion. </w:t>
      </w:r>
      <w:r>
        <w:rPr>
          <w:rFonts w:ascii="Times New Roman" w:hAnsi="Times New Roman"/>
          <w:sz w:val="22"/>
          <w:szCs w:val="22"/>
        </w:rPr>
        <w:t xml:space="preserve">These results establish LE-DEGN as a practical and theoretically grounded solution for dynamic urban routing that successfully bridges learned representations, predictive awareness, and adaptive heuristic reasoning.</w:t>
      </w:r>
    </w:p>
    <w:p>
      <w:pPr>
        <w:spacing w:after="200" w:before="80"/>
      </w:pPr>
      <w:r>
        <w:rPr>
          <w:rFonts w:ascii="Times New Roman" w:hAnsi="Times New Roman"/>
          <w:b/>
          <w:bCs/>
          <w:sz w:val="22"/>
          <w:szCs w:val="22"/>
        </w:rPr>
        <w:t xml:space="preserve">Keywords: </w:t>
      </w:r>
      <w:r>
        <w:rPr>
          <w:rFonts w:ascii="Times New Roman" w:hAnsi="Times New Roman"/>
          <w:sz w:val="22"/>
          <w:szCs w:val="22"/>
        </w:rPr>
        <w:t xml:space="preserve">Mixed Chinese Postman Problem; Graph neural network; Dynamic vehicle routing; Spatiotemporal traffic prediction; Language-driven heuristic; Edge-centric representation</w:t>
      </w:r>
    </w:p>
    <w:p>
      <w:pPr>
        <w:spacing w:after="60" w:before="160"/>
      </w:pPr>
      <w:r>
        <w:rPr>
          <w:rFonts w:ascii="Times New Roman" w:hAnsi="Times New Roman"/>
          <w:b/>
          <w:bCs/>
          <w:sz w:val="22"/>
          <w:szCs w:val="22"/>
        </w:rPr>
        <w:t xml:space="preserve">Highlights (5 items, each ≤ 85 characters)</w:t>
      </w:r>
    </w:p>
    <w:p>
      <w:pPr>
        <w:spacing w:after="40" w:before="40"/>
      </w:pPr>
      <w:r>
        <w:rPr>
          <w:rFonts w:ascii="Times New Roman" w:hAnsi="Times New Roman"/>
          <w:sz w:val="22"/>
          <w:szCs w:val="22"/>
        </w:rPr>
        <w:t xml:space="preserve">• A language-empowered dynamic edge-centric graph network (LE-DEGN) for MCPP is proposed.</w:t>
      </w:r>
    </w:p>
    <w:p>
      <w:pPr>
        <w:spacing w:after="40" w:before="40"/>
      </w:pPr>
      <w:r>
        <w:rPr>
          <w:rFonts w:ascii="Times New Roman" w:hAnsi="Times New Roman"/>
          <w:sz w:val="22"/>
          <w:szCs w:val="22"/>
        </w:rPr>
        <w:t xml:space="preserve">• Line graph transformation and penalty-biased attention encode edge routing policies.</w:t>
      </w:r>
    </w:p>
    <w:p>
      <w:pPr>
        <w:spacing w:after="40" w:before="40"/>
      </w:pPr>
      <w:r>
        <w:rPr>
          <w:rFonts w:ascii="Times New Roman" w:hAnsi="Times New Roman"/>
          <w:sz w:val="22"/>
          <w:szCs w:val="22"/>
        </w:rPr>
        <w:t xml:space="preserve">• SA-DGWN predicts congestion before it disrupts planned routes via dilated causal convolutions.</w:t>
      </w:r>
    </w:p>
    <w:p>
      <w:pPr>
        <w:spacing w:after="40" w:before="40"/>
      </w:pPr>
      <w:r>
        <w:rPr>
          <w:rFonts w:ascii="Times New Roman" w:hAnsi="Times New Roman"/>
          <w:sz w:val="22"/>
          <w:szCs w:val="22"/>
        </w:rPr>
        <w:t xml:space="preserve">• A GSES cycle enables adaptive selection among five heuristic escape strategies.</w:t>
      </w:r>
    </w:p>
    <w:p>
      <w:pPr>
        <w:spacing w:after="40" w:before="40"/>
      </w:pPr>
      <w:r>
        <w:rPr>
          <w:rFonts w:ascii="Times New Roman" w:hAnsi="Times New Roman"/>
          <w:sz w:val="22"/>
          <w:szCs w:val="22"/>
        </w:rPr>
        <w:t xml:space="preserve">• Average 12.1% cost reduction (peak 16.3%) and near-linear scalability are achieved.</w:t>
      </w:r>
    </w:p>
    <w:p>
      <w:r>
        <w:br/>
        <w:t xml:space="preserve"/>
      </w:r>
    </w:p>
    <w:p>
      <w:pPr>
        <w:sectPr>
          <w:pgSz w:w="11906" w:h="16838" w:orient="portrait"/>
          <w:pgMar w:top="1440" w:right="1440" w:bottom="1440" w:left="1440" w:header="708" w:footer="708" w:gutter="0"/>
          <w:pgNumType/>
          <w:docGrid w:linePitch="360"/>
        </w:sectPr>
      </w:pPr>
    </w:p>
    <w:p>
      <w:pPr>
        <w:pStyle w:val="Heading1"/>
      </w:pPr>
      <w:r>
        <w:rPr>
          <w:rFonts w:ascii="Times New Roman" w:eastAsia="SimHei" w:hAnsi="Times New Roman"/>
          <w:b/>
          <w:bCs/>
          <w:sz w:val="30"/>
          <w:szCs w:val="30"/>
        </w:rPr>
        <w:t xml:space="preserve">两刊摘要写作规律对比总结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维度</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Hei" w:hAnsi="Times New Roman"/>
                <w:b/>
                <w:bCs/>
              </w:rPr>
              <w:t xml:space="preserve">《控制与决策》</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摘要结构</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强制四要素：目的-方法-结果-结论</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字数要求</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150～200汉字（中文摘要）</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人称限制</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严格禁止使用“本文”“我们”等第一人称</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语言风格</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客观简洁，使用“首先/然后/接着/最后”串联方法</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关键词</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3～6个，中英文双语</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特色要求</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中图分类号+文献标志码；中英文摘要均需提供</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典型句式</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"针对...提出...""首先...然后...""结果表明..."</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结果呈现</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需给出具体定量数据（百分比、数值）</w:t>
            </w:r>
          </w:p>
        </w:tc>
      </w:tr>
    </w:tbl>
    <w:p>
      <w:pPr>
        <w:spacing w:after="8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维度</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Hei" w:hAnsi="Times New Roman"/>
                <w:b/>
                <w:bCs/>
              </w:rPr>
              <w:t xml:space="preserve">Transportation Research Part E</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摘要结构</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非结构化单段式，隐含IMRaD逻辑</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字数要求</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无硬性限制，实际约200～280词</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人称限制</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以第三人称为主（This paper proposes...），偶尔使用"we"</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语言风格</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严谨学术英语（美式/英式），被动语态常见</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关键词</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4～6个，英文</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特色要求</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需提供Highlights（3-5条，每条≤85字符）；双盲匿名评审</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典型句式</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"This paper proposes...""Results show that...""These findings indicate..."</w:t>
            </w:r>
          </w:p>
        </w:tc>
      </w:tr>
      <w:tr>
        <w:trPr>
          <w:cantSplit/>
        </w:trPr>
        <w:tc>
          <w:tcPr>
            <w:tcW w:type="dxa" w:w="468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before="40"/>
            </w:pPr>
            <w:r>
              <w:rPr>
                <w:rFonts w:ascii="Times New Roman" w:eastAsia="SimHei" w:hAnsi="Times New Roman"/>
                <w:b/>
                <w:bCs/>
              </w:rPr>
              <w:t xml:space="preserve">结果呈现</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pPr>
            <w:r>
              <w:rPr>
                <w:rFonts w:ascii="Times New Roman" w:eastAsia="SimSun" w:hAnsi="Times New Roman"/>
              </w:rPr>
              <w:t xml:space="preserve">突出定量改进（X% reduction, up to XX improvement）</w:t>
            </w:r>
          </w:p>
        </w:tc>
      </w:tr>
    </w:tbl>
    <w:p>
      <w:pPr>
        <w:spacing w:after="80" w:before="300"/>
      </w:pPr>
      <w:r>
        <w:rPr>
          <w:rFonts w:ascii="Times New Roman" w:eastAsia="SimHei" w:hAnsi="Times New Roman"/>
          <w:b/>
          <w:bCs/>
        </w:rPr>
        <w:t xml:space="preserve">写作关键建议：</w:t>
      </w:r>
    </w:p>
    <w:p>
      <w:pPr>
        <w:spacing w:after="40" w:before="40"/>
      </w:pPr>
      <w:r>
        <w:rPr>
          <w:rFonts w:ascii="Times New Roman" w:eastAsia="SimSun" w:hAnsi="Times New Roman"/>
        </w:rPr>
        <w:t xml:space="preserve">• </w:t>
      </w:r>
      <w:r>
        <w:rPr>
          <w:rFonts w:ascii="Times New Roman" w:eastAsia="SimHei" w:hAnsi="Times New Roman"/>
          <w:b/>
          <w:bCs/>
        </w:rPr>
        <w:t xml:space="preserve">问题聚焦清晰：</w:t>
      </w:r>
      <w:r>
        <w:rPr>
          <w:rFonts w:ascii="Times New Roman" w:eastAsia="SimSun" w:hAnsi="Times New Roman"/>
        </w:rPr>
        <w:t xml:space="preserve">摘要开头必须一句话说清研究的具体问题（单双向混杂路网 + 街景采集车 + 路径优化），而非泛泛的城市测绘背景。</w:t>
      </w:r>
    </w:p>
    <w:p>
      <w:pPr>
        <w:spacing w:after="40" w:before="40"/>
      </w:pPr>
      <w:r>
        <w:rPr>
          <w:rFonts w:ascii="Times New Roman" w:eastAsia="SimSun" w:hAnsi="Times New Roman"/>
        </w:rPr>
        <w:t xml:space="preserve">• </w:t>
      </w:r>
      <w:r>
        <w:rPr>
          <w:rFonts w:ascii="Times New Roman" w:eastAsia="SimHei" w:hAnsi="Times New Roman"/>
          <w:b/>
          <w:bCs/>
        </w:rPr>
        <w:t xml:space="preserve">方法有递进逻辑：</w:t>
      </w:r>
      <w:r>
        <w:rPr>
          <w:rFonts w:ascii="Times New Roman" w:eastAsia="SimSun" w:hAnsi="Times New Roman"/>
        </w:rPr>
        <w:t xml:space="preserve">用"首先-然后-接着-最后"（中文）或"First-Then-Subsequently-Finally"（英文）清晰串联三模块的关系。</w:t>
      </w:r>
    </w:p>
    <w:p>
      <w:pPr>
        <w:spacing w:after="40" w:before="40"/>
      </w:pPr>
      <w:r>
        <w:rPr>
          <w:rFonts w:ascii="Times New Roman" w:eastAsia="SimSun" w:hAnsi="Times New Roman"/>
        </w:rPr>
        <w:t xml:space="preserve">• </w:t>
      </w:r>
      <w:r>
        <w:rPr>
          <w:rFonts w:ascii="Times New Roman" w:eastAsia="SimHei" w:hAnsi="Times New Roman"/>
          <w:b/>
          <w:bCs/>
        </w:rPr>
        <w:t xml:space="preserve">结果必须有数字：</w:t>
      </w:r>
      <w:r>
        <w:rPr>
          <w:rFonts w:ascii="Times New Roman" w:eastAsia="SimSun" w:hAnsi="Times New Roman"/>
        </w:rPr>
        <w:t xml:space="preserve">12.1%平均降低、16.3%峰值、AOCC值、执行时间等关键数据必须出现在摘要中，而非仅笼统说"有效"。</w:t>
      </w:r>
    </w:p>
    <w:p>
      <w:pPr>
        <w:spacing w:after="40" w:before="40"/>
      </w:pPr>
      <w:r>
        <w:rPr>
          <w:rFonts w:ascii="Times New Roman" w:eastAsia="SimSun" w:hAnsi="Times New Roman"/>
        </w:rPr>
        <w:t xml:space="preserve">• </w:t>
      </w:r>
      <w:r>
        <w:rPr>
          <w:rFonts w:ascii="Times New Roman" w:eastAsia="SimHei" w:hAnsi="Times New Roman"/>
          <w:b/>
          <w:bCs/>
        </w:rPr>
        <w:t xml:space="preserve">结论要有意义收敛：</w:t>
      </w:r>
      <w:r>
        <w:rPr>
          <w:rFonts w:ascii="Times New Roman" w:eastAsia="SimSun" w:hAnsi="Times New Roman"/>
        </w:rPr>
        <w:t xml:space="preserve">不仅说"有效"，要说对什么场景/什么条件下有效，提供了什么样的实用方案。</w:t>
      </w:r>
    </w:p>
    <w:p>
      <w:pPr>
        <w:spacing w:after="40" w:before="40"/>
      </w:pPr>
      <w:r>
        <w:rPr>
          <w:rFonts w:ascii="Times New Roman" w:eastAsia="SimSun" w:hAnsi="Times New Roman"/>
        </w:rPr>
        <w:t xml:space="preserve">• </w:t>
      </w:r>
      <w:r>
        <w:rPr>
          <w:rFonts w:ascii="Times New Roman" w:eastAsia="SimHei" w:hAnsi="Times New Roman"/>
          <w:b/>
          <w:bCs/>
        </w:rPr>
        <w:t xml:space="preserve">原文摘要的核心问题：</w:t>
      </w:r>
      <w:r>
        <w:rPr>
          <w:rFonts w:ascii="Times New Roman" w:eastAsia="SimSun" w:hAnsi="Times New Roman"/>
        </w:rPr>
        <w:t xml:space="preserve">您的原稿摘要信息密度极高但逻辑结构混乱，缺少清晰的问题锚点，"语言赋能"的动机不明确，"三模块"的关系没有递进感，建议按上述模板重写后作为正文摘要使用。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Times New Roman" w:eastAsia="SimHei" w:hAnsi="Times New Roman"/>
      <w:b/>
      <w:bCs/>
      <w:sz w:val="30"/>
      <w:szCs w:val="30"/>
    </w:rPr>
  </w:style>
  <w:style w:type="paragraph" w:styleId="Heading2">
    <w:name w:val="Heading 2"/>
    <w:basedOn w:val="Normal"/>
    <w:next w:val="Normal"/>
    <w:qFormat/>
    <w:pPr>
      <w:keepNext w:val="false"/>
      <w:keepLines w:val="false"/>
      <w:spacing w:after="160" w:before="240"/>
      <w:outlineLvl w:val="1"/>
    </w:pPr>
    <w:rPr>
      <w:rFonts w:ascii="Times New Roman" w:eastAsia="SimHei" w:hAnsi="Times New Roman"/>
      <w:b/>
      <w:bCs/>
      <w:sz w:val="26"/>
      <w:szCs w:val="26"/>
    </w:rPr>
  </w:style>
  <w:style w:type="paragraph" w:styleId="Heading3">
    <w:name w:val="Heading 3"/>
    <w:basedOn w:val="Normal"/>
    <w:next w:val="Normal"/>
    <w:qFormat/>
    <w:pPr>
      <w:keepNext w:val="false"/>
      <w:keepLines w:val="false"/>
      <w:spacing w:after="120" w:before="200"/>
      <w:outlineLvl w:val="2"/>
    </w:pPr>
    <w:rPr>
      <w:rFonts w:ascii="Times New Roman" w:eastAsia="SimHei"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2026-06-30T08:52:23.042Z</dcterms:created>
  <dcterms:modified xsi:type="dcterms:W3CDTF">2026-06-30T08:52:23.043Z</dcterms:modified>
</cp:coreProperties>
</file>

<file path=docProps/custom.xml><?xml version="1.0" encoding="utf-8"?>
<Properties xmlns="http://schemas.openxmlformats.org/officeDocument/2006/custom-properties" xmlns:vt="http://schemas.openxmlformats.org/officeDocument/2006/docPropsVTypes"/>
</file>