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spacing w:before="180" w:after="280"/>
        <w:pBdr>
          <w:bottom w:val="single" w:sz="14" w:space="1" w:color="2E74B5"/>
        </w:pBdr>
      </w:pPr>
    </w:p>
    <w:p>
      <w:pPr>
        <w:spacing w:before="120" w:after="200" w:line="264" w:lineRule="auto"/>
        <w:ind w:left="173" w:right="173"/>
        <w:shd w:fill="EFF6FF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F6FF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F6FF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F6FF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F6FF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FF6FF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0"/>
        <w:gridCol w:w="1800"/>
        <w:gridCol w:w="1800"/>
        <w:gridCol w:w="2340"/>
      </w:tblGrid>
      <w:tr>
        <w:trPr>
          <w:tblHeader w:val="true"/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rPr>
          <w:cantSplit/>
        </w:trPr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pacing w:before="120" w:after="200" w:line="264" w:lineRule="auto"/>
        <w:ind w:left="173" w:right="173"/>
        <w:shd w:fill="FFFAEB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80"/>
        <w:gridCol w:w="278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260"/>
        <w:gridCol w:w="1440"/>
        <w:gridCol w:w="1620"/>
        <w:gridCol w:w="144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900"/>
        <w:gridCol w:w="59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173" w:right="173"/>
        <w:shd w:fill="ECFDF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TableGrid"/>
        <w:tblW w:type="dxa" w:w="136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pacing w:before="120" w:after="200" w:line="264" w:lineRule="auto"/>
        <w:ind w:left="173" w:right="173"/>
        <w:shd w:fill="EFF6FF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  <w:r>
      <w:rPr>
        <w:rFonts w:ascii="Malgun Gothic" w:hAnsi="Malgun Gothic" w:eastAsia="Malgun Gothic"/>
        <w:b w:val="0"/>
        <w:color w:val="667085"/>
        <w:sz w:val="16"/>
      </w:rPr>
      <w:t xml:space="preserve">동국대학교 홍보처 비교분석  | 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